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right"/>
        <w:rPr>
          <w:rFonts w:ascii="Calibri" w:cs="Calibri" w:eastAsia="Calibri" w:hAnsi="Calibri"/>
          <w:b w:val="1"/>
          <w:color w:val="000000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ALLEGATO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i w:val="1"/>
          <w:color w:val="000000"/>
          <w:sz w:val="19"/>
          <w:szCs w:val="19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19"/>
          <w:szCs w:val="19"/>
          <w:rtl w:val="0"/>
        </w:rPr>
        <w:t xml:space="preserve">DICHIARAZIONE SOSTITUTIVA DELL’ATTO DI NOTORIETÀ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before="130" w:line="240" w:lineRule="auto"/>
        <w:jc w:val="center"/>
        <w:rPr>
          <w:rFonts w:ascii="Calibri" w:cs="Calibri" w:eastAsia="Calibri" w:hAnsi="Calibri"/>
          <w:color w:val="000000"/>
          <w:sz w:val="19"/>
          <w:szCs w:val="19"/>
        </w:rPr>
      </w:pP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19"/>
          <w:szCs w:val="19"/>
          <w:rtl w:val="0"/>
        </w:rPr>
        <w:t xml:space="preserve">art. 47 del D.P.R. 28.12.2000, n. 445</w:t>
      </w: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)</w:t>
      </w:r>
    </w:p>
    <w:p w:rsidR="00000000" w:rsidDel="00000000" w:rsidP="00000000" w:rsidRDefault="00000000" w:rsidRPr="00000000" w14:paraId="00000005">
      <w:pPr>
        <w:widowControl w:val="0"/>
        <w:spacing w:before="153" w:line="374" w:lineRule="auto"/>
        <w:ind w:firstLine="22"/>
        <w:jc w:val="both"/>
        <w:rPr>
          <w:rFonts w:ascii="Calibri" w:cs="Calibri" w:eastAsia="Calibri" w:hAnsi="Calibri"/>
          <w:color w:val="000000"/>
          <w:sz w:val="19"/>
          <w:szCs w:val="19"/>
        </w:rPr>
      </w:pP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Il/La sottoscritto</w:t>
      </w:r>
      <w:r w:rsidDel="00000000" w:rsidR="00000000" w:rsidRPr="00000000">
        <w:rPr>
          <w:rFonts w:ascii="Calibri" w:cs="Calibri" w:eastAsia="Calibri" w:hAnsi="Calibri"/>
          <w:sz w:val="19"/>
          <w:szCs w:val="19"/>
          <w:rtl w:val="0"/>
        </w:rPr>
        <w:t xml:space="preserve">/a</w:t>
      </w: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______________________________________________________________________________________ </w:t>
      </w:r>
    </w:p>
    <w:p w:rsidR="00000000" w:rsidDel="00000000" w:rsidP="00000000" w:rsidRDefault="00000000" w:rsidRPr="00000000" w14:paraId="00000006">
      <w:pPr>
        <w:widowControl w:val="0"/>
        <w:spacing w:before="153" w:line="374" w:lineRule="auto"/>
        <w:ind w:firstLine="22"/>
        <w:jc w:val="both"/>
        <w:rPr>
          <w:rFonts w:ascii="Calibri" w:cs="Calibri" w:eastAsia="Calibri" w:hAnsi="Calibri"/>
          <w:color w:val="000000"/>
          <w:sz w:val="19"/>
          <w:szCs w:val="19"/>
        </w:rPr>
      </w:pP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nato</w:t>
      </w:r>
      <w:r w:rsidDel="00000000" w:rsidR="00000000" w:rsidRPr="00000000">
        <w:rPr>
          <w:rFonts w:ascii="Calibri" w:cs="Calibri" w:eastAsia="Calibri" w:hAnsi="Calibri"/>
          <w:sz w:val="19"/>
          <w:szCs w:val="19"/>
          <w:rtl w:val="0"/>
        </w:rPr>
        <w:t xml:space="preserve">/a a</w:t>
      </w: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_______________________________________________________________il ______________________________</w:t>
      </w:r>
    </w:p>
    <w:p w:rsidR="00000000" w:rsidDel="00000000" w:rsidP="00000000" w:rsidRDefault="00000000" w:rsidRPr="00000000" w14:paraId="00000007">
      <w:pPr>
        <w:widowControl w:val="0"/>
        <w:spacing w:before="153" w:line="374" w:lineRule="auto"/>
        <w:ind w:firstLine="22"/>
        <w:jc w:val="both"/>
        <w:rPr>
          <w:rFonts w:ascii="Calibri" w:cs="Calibri" w:eastAsia="Calibri" w:hAnsi="Calibri"/>
          <w:color w:val="000000"/>
          <w:sz w:val="19"/>
          <w:szCs w:val="19"/>
        </w:rPr>
      </w:pP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resident</w:t>
      </w:r>
      <w:r w:rsidDel="00000000" w:rsidR="00000000" w:rsidRPr="00000000">
        <w:rPr>
          <w:rFonts w:ascii="Calibri" w:cs="Calibri" w:eastAsia="Calibri" w:hAnsi="Calibri"/>
          <w:sz w:val="19"/>
          <w:szCs w:val="19"/>
          <w:rtl w:val="0"/>
        </w:rPr>
        <w:t xml:space="preserve">e </w:t>
      </w: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a ___________________________________________________________________________________________ </w:t>
      </w:r>
    </w:p>
    <w:p w:rsidR="00000000" w:rsidDel="00000000" w:rsidP="00000000" w:rsidRDefault="00000000" w:rsidRPr="00000000" w14:paraId="00000008">
      <w:pPr>
        <w:widowControl w:val="0"/>
        <w:spacing w:before="153" w:line="374" w:lineRule="auto"/>
        <w:ind w:firstLine="22"/>
        <w:jc w:val="both"/>
        <w:rPr>
          <w:rFonts w:ascii="Calibri" w:cs="Calibri" w:eastAsia="Calibri" w:hAnsi="Calibri"/>
          <w:color w:val="000000"/>
          <w:sz w:val="19"/>
          <w:szCs w:val="19"/>
        </w:rPr>
      </w:pP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in Via/Piazza __________________________________________________________________________________________ </w:t>
      </w:r>
    </w:p>
    <w:p w:rsidR="00000000" w:rsidDel="00000000" w:rsidP="00000000" w:rsidRDefault="00000000" w:rsidRPr="00000000" w14:paraId="00000009">
      <w:pPr>
        <w:widowControl w:val="0"/>
        <w:spacing w:before="153" w:line="374" w:lineRule="auto"/>
        <w:ind w:firstLine="22"/>
        <w:jc w:val="both"/>
        <w:rPr>
          <w:rFonts w:ascii="Calibri" w:cs="Calibri" w:eastAsia="Calibri" w:hAnsi="Calibri"/>
          <w:color w:val="000000"/>
          <w:sz w:val="19"/>
          <w:szCs w:val="19"/>
        </w:rPr>
      </w:pP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nella sua qualità di</w:t>
      </w:r>
      <w:r w:rsidDel="00000000" w:rsidR="00000000" w:rsidRPr="00000000">
        <w:rPr>
          <w:rFonts w:ascii="Calibri" w:cs="Calibri" w:eastAsia="Calibri" w:hAnsi="Calibri"/>
          <w:sz w:val="19"/>
          <w:szCs w:val="19"/>
          <w:rtl w:val="0"/>
        </w:rPr>
        <w:t xml:space="preserve"> L</w:t>
      </w: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egale appresentante del Soggetto proponente______________________________________________</w:t>
      </w:r>
    </w:p>
    <w:p w:rsidR="00000000" w:rsidDel="00000000" w:rsidP="00000000" w:rsidRDefault="00000000" w:rsidRPr="00000000" w14:paraId="0000000A">
      <w:pPr>
        <w:widowControl w:val="0"/>
        <w:spacing w:before="153" w:line="374" w:lineRule="auto"/>
        <w:ind w:firstLine="22"/>
        <w:jc w:val="both"/>
        <w:rPr>
          <w:rFonts w:ascii="Calibri" w:cs="Calibri" w:eastAsia="Calibri" w:hAnsi="Calibri"/>
          <w:sz w:val="19"/>
          <w:szCs w:val="19"/>
        </w:rPr>
      </w:pP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con </w:t>
      </w:r>
      <w:r w:rsidDel="00000000" w:rsidR="00000000" w:rsidRPr="00000000">
        <w:rPr>
          <w:rFonts w:ascii="Calibri" w:cs="Calibri" w:eastAsia="Calibri" w:hAnsi="Calibri"/>
          <w:sz w:val="19"/>
          <w:szCs w:val="19"/>
          <w:rtl w:val="0"/>
        </w:rPr>
        <w:t xml:space="preserve">sede legale a_______________________________________________________________________________________</w:t>
      </w:r>
    </w:p>
    <w:p w:rsidR="00000000" w:rsidDel="00000000" w:rsidP="00000000" w:rsidRDefault="00000000" w:rsidRPr="00000000" w14:paraId="0000000B">
      <w:pPr>
        <w:widowControl w:val="0"/>
        <w:spacing w:before="153" w:line="374" w:lineRule="auto"/>
        <w:ind w:firstLine="22"/>
        <w:jc w:val="both"/>
        <w:rPr>
          <w:rFonts w:ascii="Calibri" w:cs="Calibri" w:eastAsia="Calibri" w:hAnsi="Calibri"/>
          <w:color w:val="000000"/>
          <w:sz w:val="19"/>
          <w:szCs w:val="19"/>
        </w:rPr>
      </w:pPr>
      <w:r w:rsidDel="00000000" w:rsidR="00000000" w:rsidRPr="00000000">
        <w:rPr>
          <w:rFonts w:ascii="Calibri" w:cs="Calibri" w:eastAsia="Calibri" w:hAnsi="Calibri"/>
          <w:sz w:val="19"/>
          <w:szCs w:val="19"/>
          <w:rtl w:val="0"/>
        </w:rPr>
        <w:t xml:space="preserve">in </w:t>
      </w: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Via/Piazza___________________________________________________________________________________________ </w:t>
      </w:r>
    </w:p>
    <w:p w:rsidR="00000000" w:rsidDel="00000000" w:rsidP="00000000" w:rsidRDefault="00000000" w:rsidRPr="00000000" w14:paraId="0000000C">
      <w:pPr>
        <w:widowControl w:val="0"/>
        <w:spacing w:before="29" w:line="240" w:lineRule="auto"/>
        <w:rPr>
          <w:rFonts w:ascii="Calibri" w:cs="Calibri" w:eastAsia="Calibri" w:hAnsi="Calibri"/>
          <w:color w:val="000000"/>
          <w:sz w:val="19"/>
          <w:szCs w:val="19"/>
        </w:rPr>
      </w:pP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C.F. ______________________________________________ P.IVA n. _____________________________________________</w:t>
      </w:r>
    </w:p>
    <w:p w:rsidR="00000000" w:rsidDel="00000000" w:rsidP="00000000" w:rsidRDefault="00000000" w:rsidRPr="00000000" w14:paraId="0000000D">
      <w:pPr>
        <w:widowControl w:val="0"/>
        <w:spacing w:before="147" w:line="252.00000000000003" w:lineRule="auto"/>
        <w:ind w:hanging="13"/>
        <w:jc w:val="both"/>
        <w:rPr/>
      </w:pP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e, limitatamente al comma 1, lettere a), b), b-bis), c), d), e), f), g) e al comma 2 anche </w:t>
      </w: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u w:val="single"/>
          <w:rtl w:val="0"/>
        </w:rPr>
        <w:t xml:space="preserve">in nome e per conto dei soggetti </w:t>
      </w: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u w:val="single"/>
          <w:rtl w:val="0"/>
        </w:rPr>
        <w:t xml:space="preserve">indicati nell’art. 94, comma 3, del D. Lgs. n. 36/2023</w:t>
      </w: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u w:val="single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before="131" w:line="240" w:lineRule="auto"/>
        <w:ind w:hanging="5"/>
        <w:jc w:val="both"/>
        <w:rPr>
          <w:rFonts w:ascii="Calibri" w:cs="Calibri" w:eastAsia="Calibri" w:hAnsi="Calibri"/>
          <w:b w:val="1"/>
          <w:color w:val="000000"/>
          <w:sz w:val="19"/>
          <w:szCs w:val="19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19"/>
          <w:szCs w:val="19"/>
          <w:rtl w:val="0"/>
        </w:rPr>
        <w:t xml:space="preserve">consapevole delle sanzioni penali previste dall’art. 76 del D.P.R. 28/12/2000, n. 445, nel caso di dichiarazioni mendaci, esibizione di atti falsi o contenenti dati non più corrispondenti al vero  </w:t>
      </w:r>
    </w:p>
    <w:p w:rsidR="00000000" w:rsidDel="00000000" w:rsidP="00000000" w:rsidRDefault="00000000" w:rsidRPr="00000000" w14:paraId="0000000F">
      <w:pPr>
        <w:widowControl w:val="0"/>
        <w:spacing w:before="129" w:line="240" w:lineRule="auto"/>
        <w:jc w:val="center"/>
        <w:rPr>
          <w:rFonts w:ascii="Calibri" w:cs="Calibri" w:eastAsia="Calibri" w:hAnsi="Calibri"/>
          <w:b w:val="1"/>
          <w:color w:val="000000"/>
          <w:sz w:val="19"/>
          <w:szCs w:val="19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19"/>
          <w:szCs w:val="19"/>
          <w:u w:val="single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before="129" w:line="252.00000000000003" w:lineRule="auto"/>
        <w:ind w:firstLine="6"/>
        <w:jc w:val="both"/>
        <w:rPr/>
      </w:pP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l’inesistenza delle cause di esclusione dalla partecipazione ad una procedura d’appalto o concessione elencate nell’art. 94 del D. Lgs. n. 36/2023, analogicamente applicato ad altre procedure di convenzione per realizzazione di progetti, per le finalità richiamate, ed in quanto compatibile, ed in particolare: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che nei propri confronti e nei confronti dei soggetti sopra indicati non è stata pronunciata sentenza definitiva di condanna o emesso decreto penale di condanna divenuto irrevocabile, oppure sentenza di applicazione della pena su richiesta ai sensi dell'articolo 444 del codice di procedura penale per uno dei seguenti reati: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delitti, consumati o tentati, di cui agli articoli 416, 416-bis del codice penale ovvero delitti commessi avvalendosi delle condizioni previste dal predetto articolo 416-bis ovvero al fine di agevolare l’attività delle associazioni previste dallo stesso articolo, nonché’ per i delitti, consumati o tentati, previsti dall’articolo 74 del decreto del Presidente della Repubblica 9 ottobre 1990, n. 309, dall’articolo 291quater del decreto del Presidente della Repubblica 23 gennaio 1973, n. 43 e dall’articolo 260 del decreto legislativo 3 aprile 2006, n. 152, in quanto riconducibili alla partecipazione a un’organizzazione criminale, quale definita all’articolo 2 della decisione quadro 2008/841/GAI del Consiglio;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delitti, consumati o tentati, di cui agli articoli 317, 318, 319, 319-ter, 319-quater, 320, 321, 322, 322bis, 346- bis, 353, 353-bis, 354, 355 e 356 del codice penale nonché all’articolo 2635 del codice civile; 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ind w:left="284" w:hanging="284"/>
        <w:jc w:val="both"/>
        <w:rPr>
          <w:rFonts w:ascii="Calibri" w:cs="Calibri" w:eastAsia="Calibri" w:hAnsi="Calibri"/>
          <w:color w:val="000000"/>
          <w:sz w:val="19"/>
          <w:szCs w:val="19"/>
        </w:rPr>
      </w:pP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b-bis) false comunicazioni sociali di cui agli articoli 2621 e 2622 del codice civile; 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frode ai sensi dell’articolo 1 della convenzione relativa alla tutela degli interessi finanziari delle Comunità europee;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delitti, consumati o tentati, commessi con finalità di terrorismo, anche internazionale, e di eversione dell’ordine costituzionale reati terroristici o reati connessi alle attività terroristiche;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delitti di cui agli articoli 648-bis, 648-ter e 648-ter.1 del codice penale, riciclaggio di proventi di attività criminose o finanziamento del terrorismo, quali definiti all’articolo 1 del decreto legislativo 22 giugno 2007, n. 109 e successive modificazioni;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sfruttamento del lavoro minorile e altre forme di tratta di esseri umani definite con il decreto legislativo 4 marzo 2014, n. 24;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ogni altro delitto da cui derivi, quale pena accessoria, l’incapacità di contrattare con la pubblica amministrazione.  In caso contrario, dichiara nello spazio che segue le condanne riportate (indicare i soggetti specificando ruolo, imputazione e condanna).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che nei propri confronti e nei confronti dei soggetti sopra indicati non sussiste la causa di decadenza, di sospensione o di divieto previste dall’articolo 67 del decreto legislativo 6 settembre 2011, n. 159 o di un tentativo di infiltrazione mafiosa di cui all’articolo 84, comma 4, del medesimo decreto; </w:t>
      </w:r>
    </w:p>
    <w:p w:rsidR="00000000" w:rsidDel="00000000" w:rsidP="00000000" w:rsidRDefault="00000000" w:rsidRPr="00000000" w14:paraId="0000001B">
      <w:pPr>
        <w:widowControl w:val="0"/>
        <w:spacing w:before="133" w:line="246.99999999999994" w:lineRule="auto"/>
        <w:ind w:left="284" w:hanging="284"/>
        <w:jc w:val="both"/>
        <w:rPr>
          <w:rFonts w:ascii="Calibri" w:cs="Calibri" w:eastAsia="Calibri" w:hAnsi="Calibri"/>
          <w:color w:val="000000"/>
          <w:sz w:val="19"/>
          <w:szCs w:val="19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3. </w:t>
      </w: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che il Soggetto proponente</w:t>
      </w:r>
      <w:r w:rsidDel="00000000" w:rsidR="00000000" w:rsidRPr="00000000">
        <w:rPr>
          <w:rFonts w:ascii="Calibri" w:cs="Calibri" w:eastAsia="Calibri" w:hAnsi="Calibri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non ha commesso violazioni gravi, definitivamente accertate, rispetto agli obblighi relativi al pagamento delle imposte e tasse o dei contributi previdenziali, secondo la legislazione italiana o quella dello Stato in cui sono stabiliti</w:t>
      </w: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vertAlign w:val="superscript"/>
        </w:rPr>
        <w:footnoteReference w:customMarkFollows="0" w:id="1"/>
      </w:r>
      <w:r w:rsidDel="00000000" w:rsidR="00000000" w:rsidRPr="00000000">
        <w:rPr>
          <w:rFonts w:ascii="Calibri" w:cs="Calibri" w:eastAsia="Calibri" w:hAnsi="Calibri"/>
          <w:color w:val="000000"/>
          <w:sz w:val="21"/>
          <w:szCs w:val="21"/>
          <w:vertAlign w:val="superscript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ed indica all’uopo i seguenti dati: </w:t>
      </w:r>
    </w:p>
    <w:p w:rsidR="00000000" w:rsidDel="00000000" w:rsidP="00000000" w:rsidRDefault="00000000" w:rsidRPr="00000000" w14:paraId="0000001C">
      <w:pPr>
        <w:widowControl w:val="0"/>
        <w:spacing w:before="32" w:line="240" w:lineRule="auto"/>
        <w:rPr>
          <w:rFonts w:ascii="Calibri" w:cs="Calibri" w:eastAsia="Calibri" w:hAnsi="Calibri"/>
          <w:color w:val="000000"/>
          <w:sz w:val="19"/>
          <w:szCs w:val="19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19"/>
          <w:szCs w:val="19"/>
          <w:rtl w:val="0"/>
        </w:rPr>
        <w:t xml:space="preserve">▪ </w:t>
      </w: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Ufficio Locale dell’Agenzia delle Entrate competente: </w:t>
      </w:r>
    </w:p>
    <w:p w:rsidR="00000000" w:rsidDel="00000000" w:rsidP="00000000" w:rsidRDefault="00000000" w:rsidRPr="00000000" w14:paraId="0000001D">
      <w:pPr>
        <w:widowControl w:val="0"/>
        <w:spacing w:before="12" w:line="240" w:lineRule="auto"/>
        <w:jc w:val="both"/>
        <w:rPr>
          <w:rFonts w:ascii="Calibri" w:cs="Calibri" w:eastAsia="Calibri" w:hAnsi="Calibri"/>
          <w:color w:val="000000"/>
          <w:sz w:val="19"/>
          <w:szCs w:val="19"/>
        </w:rPr>
      </w:pP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i. Indirizzo: ________________________________________________________________________________________________ </w:t>
      </w:r>
    </w:p>
    <w:p w:rsidR="00000000" w:rsidDel="00000000" w:rsidP="00000000" w:rsidRDefault="00000000" w:rsidRPr="00000000" w14:paraId="0000001E">
      <w:pPr>
        <w:widowControl w:val="0"/>
        <w:spacing w:before="12" w:line="240" w:lineRule="auto"/>
        <w:jc w:val="both"/>
        <w:rPr>
          <w:rFonts w:ascii="Calibri" w:cs="Calibri" w:eastAsia="Calibri" w:hAnsi="Calibri"/>
          <w:color w:val="000000"/>
          <w:sz w:val="19"/>
          <w:szCs w:val="19"/>
        </w:rPr>
      </w:pP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ii. numero di telefono: _______________________________________________________________________________________ </w:t>
      </w:r>
    </w:p>
    <w:p w:rsidR="00000000" w:rsidDel="00000000" w:rsidP="00000000" w:rsidRDefault="00000000" w:rsidRPr="00000000" w14:paraId="0000001F">
      <w:pPr>
        <w:widowControl w:val="0"/>
        <w:spacing w:before="12" w:line="240" w:lineRule="auto"/>
        <w:jc w:val="both"/>
        <w:rPr>
          <w:rFonts w:ascii="Calibri" w:cs="Calibri" w:eastAsia="Calibri" w:hAnsi="Calibri"/>
          <w:color w:val="000000"/>
          <w:sz w:val="19"/>
          <w:szCs w:val="19"/>
        </w:rPr>
      </w:pP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iii. pec, fax e/o e-mail: _______________________________________________________________________________________ </w:t>
      </w:r>
    </w:p>
    <w:p w:rsidR="00000000" w:rsidDel="00000000" w:rsidP="00000000" w:rsidRDefault="00000000" w:rsidRPr="00000000" w14:paraId="00000020">
      <w:pPr>
        <w:widowControl w:val="0"/>
        <w:spacing w:line="240" w:lineRule="auto"/>
        <w:ind w:left="425" w:hanging="431"/>
        <w:rPr/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19"/>
          <w:szCs w:val="19"/>
          <w:rtl w:val="0"/>
        </w:rPr>
        <w:t xml:space="preserve">▪ </w:t>
      </w: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[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19"/>
          <w:szCs w:val="19"/>
          <w:rtl w:val="0"/>
        </w:rPr>
        <w:t xml:space="preserve">Se non iscritto all’INPS e/o INAIL</w:t>
      </w: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] Informazioni ai fini delle verifiche sulla regolarità contributiva previdenziale di soci e dipendenti (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19"/>
          <w:szCs w:val="19"/>
          <w:rtl w:val="0"/>
        </w:rPr>
        <w:t xml:space="preserve">compilare sezione d’interesse</w:t>
      </w: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before="5" w:line="240" w:lineRule="auto"/>
        <w:ind w:left="567" w:hanging="567"/>
        <w:rPr>
          <w:rFonts w:ascii="Calibri" w:cs="Calibri" w:eastAsia="Calibri" w:hAnsi="Calibri"/>
          <w:color w:val="000000"/>
          <w:sz w:val="19"/>
          <w:szCs w:val="19"/>
        </w:rPr>
      </w:pP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i. Posizione assicurativa INAIL: _______________________________________________ </w:t>
      </w:r>
    </w:p>
    <w:p w:rsidR="00000000" w:rsidDel="00000000" w:rsidP="00000000" w:rsidRDefault="00000000" w:rsidRPr="00000000" w14:paraId="00000022">
      <w:pPr>
        <w:widowControl w:val="0"/>
        <w:spacing w:before="5" w:line="240" w:lineRule="auto"/>
        <w:ind w:left="567" w:hanging="567"/>
        <w:rPr>
          <w:rFonts w:ascii="Calibri" w:cs="Calibri" w:eastAsia="Calibri" w:hAnsi="Calibri"/>
          <w:color w:val="000000"/>
          <w:sz w:val="19"/>
          <w:szCs w:val="19"/>
        </w:rPr>
      </w:pP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cod. identificativo: _______________________________________________________ </w:t>
      </w:r>
    </w:p>
    <w:p w:rsidR="00000000" w:rsidDel="00000000" w:rsidP="00000000" w:rsidRDefault="00000000" w:rsidRPr="00000000" w14:paraId="00000023">
      <w:pPr>
        <w:widowControl w:val="0"/>
        <w:spacing w:before="7" w:line="240" w:lineRule="auto"/>
        <w:ind w:firstLine="496"/>
        <w:rPr>
          <w:rFonts w:ascii="Calibri" w:cs="Calibri" w:eastAsia="Calibri" w:hAnsi="Calibri"/>
          <w:color w:val="000000"/>
          <w:sz w:val="19"/>
          <w:szCs w:val="19"/>
        </w:rPr>
      </w:pP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sede competente: _______________________________________________________ , ovvero </w:t>
      </w:r>
    </w:p>
    <w:p w:rsidR="00000000" w:rsidDel="00000000" w:rsidP="00000000" w:rsidRDefault="00000000" w:rsidRPr="00000000" w14:paraId="00000024">
      <w:pPr>
        <w:widowControl w:val="0"/>
        <w:spacing w:before="7" w:line="240" w:lineRule="auto"/>
        <w:rPr>
          <w:rFonts w:ascii="Calibri" w:cs="Calibri" w:eastAsia="Calibri" w:hAnsi="Calibri"/>
          <w:color w:val="000000"/>
          <w:sz w:val="19"/>
          <w:szCs w:val="19"/>
        </w:rPr>
      </w:pP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ii. Posizione assicurativa INPS: _______________________________________________ </w:t>
      </w:r>
    </w:p>
    <w:p w:rsidR="00000000" w:rsidDel="00000000" w:rsidP="00000000" w:rsidRDefault="00000000" w:rsidRPr="00000000" w14:paraId="00000025">
      <w:pPr>
        <w:widowControl w:val="0"/>
        <w:spacing w:before="7" w:line="240" w:lineRule="auto"/>
        <w:rPr>
          <w:rFonts w:ascii="Calibri" w:cs="Calibri" w:eastAsia="Calibri" w:hAnsi="Calibri"/>
          <w:color w:val="000000"/>
          <w:sz w:val="19"/>
          <w:szCs w:val="19"/>
        </w:rPr>
      </w:pP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cod. identificativo: _______________________________________________________ </w:t>
      </w:r>
    </w:p>
    <w:p w:rsidR="00000000" w:rsidDel="00000000" w:rsidP="00000000" w:rsidRDefault="00000000" w:rsidRPr="00000000" w14:paraId="00000026">
      <w:pPr>
        <w:widowControl w:val="0"/>
        <w:spacing w:before="8" w:line="240" w:lineRule="auto"/>
        <w:ind w:firstLine="542"/>
        <w:rPr>
          <w:rFonts w:ascii="Calibri" w:cs="Calibri" w:eastAsia="Calibri" w:hAnsi="Calibri"/>
          <w:color w:val="000000"/>
          <w:sz w:val="19"/>
          <w:szCs w:val="19"/>
        </w:rPr>
      </w:pP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sede competente: _______________________________________________________ , ovvero </w:t>
      </w:r>
    </w:p>
    <w:p w:rsidR="00000000" w:rsidDel="00000000" w:rsidP="00000000" w:rsidRDefault="00000000" w:rsidRPr="00000000" w14:paraId="00000027">
      <w:pPr>
        <w:widowControl w:val="0"/>
        <w:spacing w:before="8" w:line="240" w:lineRule="auto"/>
        <w:rPr>
          <w:rFonts w:ascii="Calibri" w:cs="Calibri" w:eastAsia="Calibri" w:hAnsi="Calibri"/>
          <w:color w:val="000000"/>
          <w:sz w:val="19"/>
          <w:szCs w:val="19"/>
        </w:rPr>
      </w:pP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iii. Iscrizione altra cassa previdenziale: _________________________________________ </w:t>
      </w:r>
    </w:p>
    <w:p w:rsidR="00000000" w:rsidDel="00000000" w:rsidP="00000000" w:rsidRDefault="00000000" w:rsidRPr="00000000" w14:paraId="00000028">
      <w:pPr>
        <w:widowControl w:val="0"/>
        <w:spacing w:before="8" w:line="240" w:lineRule="auto"/>
        <w:rPr>
          <w:rFonts w:ascii="Calibri" w:cs="Calibri" w:eastAsia="Calibri" w:hAnsi="Calibri"/>
          <w:color w:val="000000"/>
          <w:sz w:val="19"/>
          <w:szCs w:val="19"/>
        </w:rPr>
      </w:pP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cassa di appartenenza: ___________________________________________________ </w:t>
      </w:r>
    </w:p>
    <w:p w:rsidR="00000000" w:rsidDel="00000000" w:rsidP="00000000" w:rsidRDefault="00000000" w:rsidRPr="00000000" w14:paraId="00000029">
      <w:pPr>
        <w:widowControl w:val="0"/>
        <w:spacing w:before="5" w:line="240" w:lineRule="auto"/>
        <w:rPr>
          <w:rFonts w:ascii="Calibri" w:cs="Calibri" w:eastAsia="Calibri" w:hAnsi="Calibri"/>
          <w:color w:val="000000"/>
          <w:sz w:val="19"/>
          <w:szCs w:val="19"/>
        </w:rPr>
      </w:pP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cod. identificativo: _______________________________________________________ </w:t>
      </w:r>
    </w:p>
    <w:p w:rsidR="00000000" w:rsidDel="00000000" w:rsidP="00000000" w:rsidRDefault="00000000" w:rsidRPr="00000000" w14:paraId="0000002A">
      <w:pPr>
        <w:widowControl w:val="0"/>
        <w:spacing w:before="12" w:line="240" w:lineRule="auto"/>
        <w:rPr>
          <w:rFonts w:ascii="Calibri" w:cs="Calibri" w:eastAsia="Calibri" w:hAnsi="Calibri"/>
          <w:color w:val="000000"/>
          <w:sz w:val="19"/>
          <w:szCs w:val="19"/>
        </w:rPr>
      </w:pP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Indirizzo: ______________________________________________________________ </w:t>
      </w:r>
    </w:p>
    <w:p w:rsidR="00000000" w:rsidDel="00000000" w:rsidP="00000000" w:rsidRDefault="00000000" w:rsidRPr="00000000" w14:paraId="0000002B">
      <w:pPr>
        <w:widowControl w:val="0"/>
        <w:spacing w:line="240" w:lineRule="auto"/>
        <w:ind w:left="284" w:hanging="284"/>
        <w:jc w:val="both"/>
        <w:rPr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4. </w:t>
      </w: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che il Soggetto proponente</w:t>
      </w:r>
      <w:r w:rsidDel="00000000" w:rsidR="00000000" w:rsidRPr="00000000">
        <w:rPr>
          <w:rFonts w:ascii="Calibri" w:cs="Calibri" w:eastAsia="Calibri" w:hAnsi="Calibri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non ha commesso gravi infrazioni debitamente accertate alle norme in materia di salute e sicurezza sul lavoro nonché agli obblighi di cui all’articolo 10 del D. Lgs. n. 36/2023;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line="240" w:lineRule="auto"/>
        <w:ind w:left="284" w:hanging="284"/>
        <w:jc w:val="both"/>
        <w:rPr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5. </w:t>
      </w: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che il Soggetto proponente </w:t>
      </w:r>
      <w:r w:rsidDel="00000000" w:rsidR="00000000" w:rsidRPr="00000000">
        <w:rPr>
          <w:rFonts w:ascii="Calibri" w:cs="Calibri" w:eastAsia="Calibri" w:hAnsi="Calibri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non si trova in stato di fallimento, di liquidazione coatta, di concordato preventivo, salvo il caso di concordato con continuità aziendale, o nei cui riguardi non è in corso un procedimento per la dichiarazione di una di tali situazioni, fermo restando quanto previsto dall’articolo 124 del D. Lgs. n. 36/2023;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line="240" w:lineRule="auto"/>
        <w:ind w:left="284" w:hanging="284"/>
        <w:jc w:val="both"/>
        <w:rPr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6. </w:t>
      </w: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che il Soggetto proponente non si è reso colpevole di gravi illeciti professionali, tali da rendere dubbia la sua integrità o affidabilità né ricorre nelle altre fattispecie di cui all'art. 98</w:t>
      </w: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vertAlign w:val="superscript"/>
        </w:rPr>
        <w:footnoteReference w:customMarkFollows="0" w:id="2"/>
      </w: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line="240" w:lineRule="auto"/>
        <w:ind w:left="284" w:hanging="284"/>
        <w:jc w:val="both"/>
        <w:rPr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7. </w:t>
      </w: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che la propria partecipazione non determina una situazione di conflitto di interesse ai sensi dell’articolo 16 del D. Lgs. n. 36/2023, non diversamente risolvibile;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line="240" w:lineRule="auto"/>
        <w:ind w:left="284" w:hanging="284"/>
        <w:jc w:val="both"/>
        <w:rPr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8. </w:t>
      </w: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che la propria partecipazione non determina una distorsione della concorrenza derivante dal proprio precedente coinvolgimento nella preparazione della procedura di cui all’articolo 78 del D. Lgs. n. 36/2023 che non possa essere risolta con misure meno intrusive;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line="240" w:lineRule="auto"/>
        <w:ind w:left="284" w:hanging="284"/>
        <w:jc w:val="both"/>
        <w:rPr>
          <w:rFonts w:ascii="Calibri" w:cs="Calibri" w:eastAsia="Calibri" w:hAnsi="Calibri"/>
          <w:color w:val="000000"/>
          <w:sz w:val="19"/>
          <w:szCs w:val="19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9. </w:t>
      </w: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che il Soggetto proponente non è stato soggetto alla sanzione interdittiva di cui all’articolo 9, comma 2, lettera c)  del D. Lgs. n. 8 giugno 2001, n. 231 o ad altra sanzione che comporta il divieto di contrarre con la pubblica  amministrazione, compresi i provvedimenti interdittivi di cui all’articolo 14 del D. Lgs. n. 9 aprile 2008, n. 81 e che si  trova in possesso dei requisiti d'idoneità di cui all’art. 26 del D. Lgs. 81; </w:t>
      </w:r>
    </w:p>
    <w:p w:rsidR="00000000" w:rsidDel="00000000" w:rsidP="00000000" w:rsidRDefault="00000000" w:rsidRPr="00000000" w14:paraId="00000031">
      <w:pPr>
        <w:widowControl w:val="0"/>
        <w:spacing w:line="240" w:lineRule="auto"/>
        <w:ind w:left="284" w:hanging="284"/>
        <w:jc w:val="both"/>
        <w:rPr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10. </w:t>
      </w: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che il Soggetto proponente</w:t>
      </w:r>
      <w:r w:rsidDel="00000000" w:rsidR="00000000" w:rsidRPr="00000000">
        <w:rPr>
          <w:rFonts w:ascii="Calibri" w:cs="Calibri" w:eastAsia="Calibri" w:hAnsi="Calibri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non ha presentato nella procedura di gara in corso e negli affidamenti di subappalti documentazioni non veritiere (art. 98, comma 5, codice appalti);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line="240" w:lineRule="auto"/>
        <w:ind w:left="284" w:hanging="284"/>
        <w:jc w:val="both"/>
        <w:rPr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11. </w:t>
      </w: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che il Soggetto proponente  non è iscritto nel casellario informatico tenuto dall’Osservatorio dell’ANAC per aver presentato false dichiarazioni o falsa documentazione nelle procedure di gara e negli affidamenti di subappalti;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line="240" w:lineRule="auto"/>
        <w:ind w:left="284" w:hanging="284"/>
        <w:jc w:val="both"/>
        <w:rPr>
          <w:rFonts w:ascii="Calibri" w:cs="Calibri" w:eastAsia="Calibri" w:hAnsi="Calibri"/>
          <w:color w:val="000000"/>
          <w:sz w:val="19"/>
          <w:szCs w:val="19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12. </w:t>
      </w: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che il Soggetto proponente non è iscritto nel casellario informatico tenuto dall’Osservatorio dell’ANAC per aver presentato false dichiarazioni o falsa documentazione ai fini del rilascio dell’attestazione di qualificazione, per il periodo durante il quale perdura l’iscrizione; </w:t>
      </w:r>
    </w:p>
    <w:p w:rsidR="00000000" w:rsidDel="00000000" w:rsidP="00000000" w:rsidRDefault="00000000" w:rsidRPr="00000000" w14:paraId="00000034">
      <w:pPr>
        <w:widowControl w:val="0"/>
        <w:spacing w:line="240" w:lineRule="auto"/>
        <w:ind w:left="284" w:hanging="284"/>
        <w:jc w:val="both"/>
        <w:rPr>
          <w:rFonts w:ascii="Calibri" w:cs="Calibri" w:eastAsia="Calibri" w:hAnsi="Calibri"/>
          <w:color w:val="000000"/>
          <w:sz w:val="19"/>
          <w:szCs w:val="19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13. </w:t>
      </w: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che il Soggetto proponente</w:t>
      </w:r>
      <w:r w:rsidDel="00000000" w:rsidR="00000000" w:rsidRPr="00000000">
        <w:rPr>
          <w:rFonts w:ascii="Calibri" w:cs="Calibri" w:eastAsia="Calibri" w:hAnsi="Calibri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 non ha violato il divieto di intestazione fiduciaria di cui all’articolo 17 della legge 19 marzo 1990, n. 55; </w:t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line="240" w:lineRule="auto"/>
        <w:ind w:left="284" w:hanging="284"/>
        <w:jc w:val="both"/>
        <w:rPr>
          <w:rFonts w:ascii="Calibri" w:cs="Calibri" w:eastAsia="Calibri" w:hAnsi="Calibri"/>
          <w:color w:val="000000"/>
          <w:sz w:val="19"/>
          <w:szCs w:val="19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14. </w:t>
      </w: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che, ai sensi dell’art. 17 della legge 12.03.1999, n. 68: (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19"/>
          <w:szCs w:val="19"/>
          <w:rtl w:val="0"/>
        </w:rPr>
        <w:t xml:space="preserve">Barrare la casella di interesse</w:t>
      </w: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) </w:t>
      </w:r>
    </w:p>
    <w:tbl>
      <w:tblPr>
        <w:tblStyle w:val="Table1"/>
        <w:tblW w:w="9985.0" w:type="dxa"/>
        <w:jc w:val="left"/>
        <w:tblInd w:w="160.99999999999997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4"/>
        <w:gridCol w:w="9501"/>
        <w:tblGridChange w:id="0">
          <w:tblGrid>
            <w:gridCol w:w="484"/>
            <w:gridCol w:w="950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widowControl w:val="0"/>
              <w:spacing w:after="40" w:before="60" w:line="240" w:lineRule="auto"/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widowControl w:val="0"/>
              <w:spacing w:after="40" w:before="60" w:line="240" w:lineRule="auto"/>
              <w:ind w:left="284" w:hanging="284"/>
              <w:jc w:val="both"/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9"/>
                <w:szCs w:val="19"/>
                <w:rtl w:val="0"/>
              </w:rPr>
              <w:t xml:space="preserve">il Soggetto proponente è in regola con le norme che disciplinano il diritto al lavoro dei disabili poiché ha ottemperato alle disposizioni </w:t>
            </w:r>
          </w:p>
          <w:p w:rsidR="00000000" w:rsidDel="00000000" w:rsidP="00000000" w:rsidRDefault="00000000" w:rsidRPr="00000000" w14:paraId="00000039">
            <w:pPr>
              <w:widowControl w:val="0"/>
              <w:spacing w:after="40" w:before="60" w:line="240" w:lineRule="auto"/>
              <w:ind w:left="284" w:hanging="284"/>
              <w:jc w:val="both"/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9"/>
                <w:szCs w:val="19"/>
                <w:rtl w:val="0"/>
              </w:rPr>
              <w:t xml:space="preserve">contenute nella Legge 68/99 o _______________________________ (indicare la Legge Stato estero). </w:t>
            </w:r>
          </w:p>
          <w:p w:rsidR="00000000" w:rsidDel="00000000" w:rsidP="00000000" w:rsidRDefault="00000000" w:rsidRPr="00000000" w14:paraId="0000003A">
            <w:pPr>
              <w:widowControl w:val="0"/>
              <w:spacing w:after="40" w:before="60" w:line="240" w:lineRule="auto"/>
              <w:jc w:val="both"/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9"/>
                <w:szCs w:val="19"/>
                <w:rtl w:val="0"/>
              </w:rPr>
              <w:t xml:space="preserve">Gli adempimenti sono stati eseguiti presso l’Ufficio ____________________________ di__________________________</w:t>
            </w:r>
          </w:p>
          <w:p w:rsidR="00000000" w:rsidDel="00000000" w:rsidP="00000000" w:rsidRDefault="00000000" w:rsidRPr="00000000" w14:paraId="0000003B">
            <w:pPr>
              <w:widowControl w:val="0"/>
              <w:spacing w:after="40" w:before="60" w:line="240" w:lineRule="auto"/>
              <w:jc w:val="both"/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9"/>
                <w:szCs w:val="19"/>
                <w:rtl w:val="0"/>
              </w:rPr>
              <w:t xml:space="preserve">Via ___________________________________________ fax _____________ </w:t>
            </w:r>
          </w:p>
          <w:p w:rsidR="00000000" w:rsidDel="00000000" w:rsidP="00000000" w:rsidRDefault="00000000" w:rsidRPr="00000000" w14:paraId="0000003C">
            <w:pPr>
              <w:widowControl w:val="0"/>
              <w:spacing w:after="40" w:before="60" w:line="240" w:lineRule="auto"/>
              <w:jc w:val="both"/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9"/>
                <w:szCs w:val="19"/>
                <w:rtl w:val="0"/>
              </w:rPr>
              <w:t xml:space="preserve">e-mail/PEC: _______________________________________________________________________________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widowControl w:val="0"/>
              <w:spacing w:after="40" w:before="60" w:line="240" w:lineRule="auto"/>
              <w:jc w:val="center"/>
              <w:rPr/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widowControl w:val="0"/>
              <w:spacing w:after="40" w:before="60" w:line="240" w:lineRule="auto"/>
              <w:ind w:left="284" w:hanging="284"/>
              <w:jc w:val="both"/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9"/>
                <w:szCs w:val="19"/>
                <w:rtl w:val="0"/>
              </w:rPr>
              <w:t xml:space="preserve">il Soggetto proponente non è soggetto agli obblighi di assunzione obbligatoria previsti dalla Legge 68/99 per i seguenti motivi: </w:t>
            </w:r>
          </w:p>
          <w:p w:rsidR="00000000" w:rsidDel="00000000" w:rsidP="00000000" w:rsidRDefault="00000000" w:rsidRPr="00000000" w14:paraId="0000003F">
            <w:pPr>
              <w:widowControl w:val="0"/>
              <w:spacing w:after="40" w:before="60" w:line="240" w:lineRule="auto"/>
              <w:jc w:val="both"/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9"/>
                <w:szCs w:val="19"/>
                <w:rtl w:val="0"/>
              </w:rPr>
              <w:t xml:space="preserve">[indicare i motivi di esenzione] ___________________________________________________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widowControl w:val="0"/>
              <w:spacing w:after="40" w:before="60" w:line="240" w:lineRule="auto"/>
              <w:jc w:val="center"/>
              <w:rPr/>
            </w:pPr>
            <w:bookmarkStart w:colFirst="0" w:colLast="0" w:name="_heading=h.1fob9te" w:id="2"/>
            <w:bookmarkEnd w:id="2"/>
            <w:r w:rsidDel="00000000" w:rsidR="00000000" w:rsidRPr="00000000">
              <w:rPr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widowControl w:val="0"/>
              <w:spacing w:after="40" w:before="60" w:line="240" w:lineRule="auto"/>
              <w:jc w:val="both"/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9"/>
                <w:szCs w:val="19"/>
                <w:rtl w:val="0"/>
              </w:rPr>
              <w:t xml:space="preserve">in _______________________(Stato estero) non esiste una normativa sull’assunzione obbligatoria dei disabili;</w:t>
            </w:r>
          </w:p>
        </w:tc>
      </w:tr>
    </w:tbl>
    <w:p w:rsidR="00000000" w:rsidDel="00000000" w:rsidP="00000000" w:rsidRDefault="00000000" w:rsidRPr="00000000" w14:paraId="00000042">
      <w:pPr>
        <w:widowControl w:val="0"/>
        <w:spacing w:line="240" w:lineRule="auto"/>
        <w:jc w:val="both"/>
        <w:rPr>
          <w:rFonts w:ascii="Calibri" w:cs="Calibri" w:eastAsia="Calibri" w:hAnsi="Calibri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line="240" w:lineRule="auto"/>
        <w:ind w:left="284" w:hanging="284"/>
        <w:jc w:val="both"/>
        <w:rPr>
          <w:rFonts w:ascii="Calibri" w:cs="Calibri" w:eastAsia="Calibri" w:hAnsi="Calibri"/>
          <w:color w:val="000000"/>
          <w:sz w:val="19"/>
          <w:szCs w:val="19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15.</w:t>
      </w: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 che l’</w:t>
      </w:r>
      <w:r w:rsidDel="00000000" w:rsidR="00000000" w:rsidRPr="00000000">
        <w:rPr>
          <w:rFonts w:ascii="Calibri" w:cs="Calibri" w:eastAsia="Calibri" w:hAnsi="Calibri"/>
          <w:sz w:val="19"/>
          <w:szCs w:val="19"/>
          <w:rtl w:val="0"/>
        </w:rPr>
        <w:t xml:space="preserve">Ente</w:t>
      </w: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:  (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19"/>
          <w:szCs w:val="19"/>
          <w:rtl w:val="0"/>
        </w:rPr>
        <w:t xml:space="preserve">Barrare la casella di interesse</w:t>
      </w: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) </w:t>
      </w:r>
    </w:p>
    <w:tbl>
      <w:tblPr>
        <w:tblStyle w:val="Table2"/>
        <w:tblW w:w="9985.0" w:type="dxa"/>
        <w:jc w:val="left"/>
        <w:tblInd w:w="160.99999999999997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4"/>
        <w:gridCol w:w="9501"/>
        <w:tblGridChange w:id="0">
          <w:tblGrid>
            <w:gridCol w:w="484"/>
            <w:gridCol w:w="950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widowControl w:val="0"/>
              <w:spacing w:after="40" w:before="60" w:line="240" w:lineRule="auto"/>
              <w:jc w:val="center"/>
              <w:rPr/>
            </w:pPr>
            <w:bookmarkStart w:colFirst="0" w:colLast="0" w:name="_heading=h.3znysh7" w:id="3"/>
            <w:bookmarkEnd w:id="3"/>
            <w:r w:rsidDel="00000000" w:rsidR="00000000" w:rsidRPr="00000000">
              <w:rPr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widowControl w:val="0"/>
              <w:spacing w:after="40" w:before="60" w:line="240" w:lineRule="auto"/>
              <w:jc w:val="both"/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9"/>
                <w:szCs w:val="19"/>
                <w:rtl w:val="0"/>
              </w:rPr>
              <w:t xml:space="preserve">non è stato vittima dei reati previsti e puniti dagli artt. 317 e 629 c.p., aggravati ai sensi dell’art. 7 del decreto legge 13 maggio 1991, n. 152, convertito, con modificazioni, dalla legge 12 luglio 1991 n. 203.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widowControl w:val="0"/>
              <w:spacing w:after="40" w:before="60" w:line="240" w:lineRule="auto"/>
              <w:jc w:val="center"/>
              <w:rPr/>
            </w:pPr>
            <w:bookmarkStart w:colFirst="0" w:colLast="0" w:name="_heading=h.2et92p0" w:id="4"/>
            <w:bookmarkEnd w:id="4"/>
            <w:r w:rsidDel="00000000" w:rsidR="00000000" w:rsidRPr="00000000">
              <w:rPr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widowControl w:val="0"/>
              <w:spacing w:after="40" w:before="60" w:line="240" w:lineRule="auto"/>
              <w:jc w:val="both"/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9"/>
                <w:szCs w:val="19"/>
                <w:rtl w:val="0"/>
              </w:rPr>
              <w:t xml:space="preserve">è stato vittima dei suddetti reati ma ha denunciato i fatti all’autorità giudiziaria;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widowControl w:val="0"/>
              <w:spacing w:after="40" w:before="60" w:line="240" w:lineRule="auto"/>
              <w:jc w:val="center"/>
              <w:rPr/>
            </w:pPr>
            <w:bookmarkStart w:colFirst="0" w:colLast="0" w:name="_heading=h.tyjcwt" w:id="5"/>
            <w:bookmarkEnd w:id="5"/>
            <w:r w:rsidDel="00000000" w:rsidR="00000000" w:rsidRPr="00000000">
              <w:rPr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widowControl w:val="0"/>
              <w:spacing w:after="40" w:before="60" w:line="240" w:lineRule="auto"/>
              <w:jc w:val="both"/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9"/>
                <w:szCs w:val="19"/>
                <w:rtl w:val="0"/>
              </w:rPr>
              <w:t xml:space="preserve">è stato vittima dei reati previsti e puniti dagli artt. 317 e 629 c.p., aggravati ai sensi dell’art. 7 del decreto legge 13 maggio 1991, n. 152, convertito, con modificazioni, dalla legge 12 luglio 1991 n. 203, e non ha denunciato i fatti all’autorità giudiziaria, in quanto ricorrono i casi previsti dall’art. 4, 1 comma, della legge 24 novembre 1981, n. 689</w:t>
            </w:r>
          </w:p>
        </w:tc>
      </w:tr>
    </w:tbl>
    <w:p w:rsidR="00000000" w:rsidDel="00000000" w:rsidP="00000000" w:rsidRDefault="00000000" w:rsidRPr="00000000" w14:paraId="0000004A">
      <w:pPr>
        <w:widowControl w:val="0"/>
        <w:spacing w:line="240" w:lineRule="auto"/>
        <w:ind w:left="284" w:hanging="284"/>
        <w:jc w:val="both"/>
        <w:rPr>
          <w:rFonts w:ascii="Calibri" w:cs="Calibri" w:eastAsia="Calibri" w:hAnsi="Calibri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line="240" w:lineRule="auto"/>
        <w:ind w:left="284" w:hanging="284"/>
        <w:jc w:val="both"/>
        <w:rPr>
          <w:rFonts w:ascii="Calibri" w:cs="Calibri" w:eastAsia="Calibri" w:hAnsi="Calibri"/>
          <w:color w:val="000000"/>
          <w:sz w:val="19"/>
          <w:szCs w:val="19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16.</w:t>
      </w: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 (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19"/>
          <w:szCs w:val="19"/>
          <w:rtl w:val="0"/>
        </w:rPr>
        <w:t xml:space="preserve">Barrare la casella di interesse</w:t>
      </w: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) </w:t>
      </w:r>
    </w:p>
    <w:tbl>
      <w:tblPr>
        <w:tblStyle w:val="Table3"/>
        <w:tblW w:w="9985.0" w:type="dxa"/>
        <w:jc w:val="left"/>
        <w:tblInd w:w="160.99999999999997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4"/>
        <w:gridCol w:w="9501"/>
        <w:tblGridChange w:id="0">
          <w:tblGrid>
            <w:gridCol w:w="484"/>
            <w:gridCol w:w="950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widowControl w:val="0"/>
              <w:spacing w:after="40" w:before="60" w:line="240" w:lineRule="auto"/>
              <w:jc w:val="center"/>
              <w:rPr/>
            </w:pPr>
            <w:bookmarkStart w:colFirst="0" w:colLast="0" w:name="_heading=h.3dy6vkm" w:id="6"/>
            <w:bookmarkEnd w:id="6"/>
            <w:r w:rsidDel="00000000" w:rsidR="00000000" w:rsidRPr="00000000">
              <w:rPr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ind w:left="284" w:hanging="284"/>
              <w:jc w:val="both"/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9"/>
                <w:szCs w:val="19"/>
                <w:rtl w:val="0"/>
              </w:rPr>
              <w:t xml:space="preserve">che il Soggetto proponente non si trova in alcuna situazione di controllo di cui all'articolo 2359 del codice civile o in una qualsiasi relazione, 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ind w:left="284" w:hanging="284"/>
              <w:jc w:val="both"/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9"/>
                <w:szCs w:val="19"/>
                <w:rtl w:val="0"/>
              </w:rPr>
              <w:t xml:space="preserve">anche di fatto con alcun soggetto, se la situazione di controllo o la relazione comporti che le offerte sono imputabili ad 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ind w:left="284" w:hanging="284"/>
              <w:jc w:val="both"/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9"/>
                <w:szCs w:val="19"/>
                <w:rtl w:val="0"/>
              </w:rPr>
              <w:t xml:space="preserve">un unico centro decisionale, e di aver formulato autonomamente la candidatura. 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ind w:left="284" w:hanging="284"/>
              <w:jc w:val="both"/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9"/>
                <w:szCs w:val="19"/>
                <w:rtl w:val="0"/>
              </w:rPr>
              <w:t xml:space="preserve">ovvero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widowControl w:val="0"/>
              <w:spacing w:after="40" w:before="60" w:line="240" w:lineRule="auto"/>
              <w:jc w:val="center"/>
              <w:rPr/>
            </w:pPr>
            <w:bookmarkStart w:colFirst="0" w:colLast="0" w:name="_heading=h.1t3h5sf" w:id="7"/>
            <w:bookmarkEnd w:id="7"/>
            <w:r w:rsidDel="00000000" w:rsidR="00000000" w:rsidRPr="00000000">
              <w:rPr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widowControl w:val="0"/>
              <w:spacing w:after="40" w:before="60" w:line="240" w:lineRule="auto"/>
              <w:jc w:val="both"/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9"/>
                <w:szCs w:val="19"/>
                <w:rtl w:val="0"/>
              </w:rPr>
              <w:t xml:space="preserve">che il Soggetto proponente non è a conoscenza della partecipazione alla medesima procedura di soggetti che si trovano, rispetto ad essa, in una delle situazioni di controllo di cui all'articolo 2359 del codice civile, o in una qualsiasi relazione, anche di fatto con alcun soggetto, se la situazione di controllo o la relazione comporti che le candidature sono imputabili ad un unico centro decisionale e di aver formulato autonomamente la candidatura.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widowControl w:val="0"/>
              <w:spacing w:after="40" w:before="60" w:line="240" w:lineRule="auto"/>
              <w:jc w:val="both"/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9"/>
                <w:szCs w:val="19"/>
                <w:rtl w:val="0"/>
              </w:rPr>
              <w:t xml:space="preserve">ovvero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widowControl w:val="0"/>
              <w:spacing w:after="40" w:before="60" w:line="240" w:lineRule="auto"/>
              <w:jc w:val="center"/>
              <w:rPr/>
            </w:pPr>
            <w:bookmarkStart w:colFirst="0" w:colLast="0" w:name="_heading=h.4d34og8" w:id="8"/>
            <w:bookmarkEnd w:id="8"/>
            <w:r w:rsidDel="00000000" w:rsidR="00000000" w:rsidRPr="00000000">
              <w:rPr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widowControl w:val="0"/>
              <w:spacing w:after="40" w:before="60" w:line="240" w:lineRule="auto"/>
              <w:jc w:val="both"/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9"/>
                <w:szCs w:val="19"/>
                <w:rtl w:val="0"/>
              </w:rPr>
              <w:t xml:space="preserve">che il Soggetto proponente è a conoscenza della partecipazione alla medesima procedura di soggetti che si trovano, rispetto ad essa, in una delle situazioni di controllo di cui all'articolo 2359 o in una qualsiasi relazione, anche di fatto con alcun soggetto, se la situazione di controllo o la relazione comporti che le candidature sono imputabili ad un unico centro decisionale del codice civile, e di aver formulato autonomamente la candidatura.</w:t>
            </w:r>
          </w:p>
        </w:tc>
      </w:tr>
    </w:tbl>
    <w:p w:rsidR="00000000" w:rsidDel="00000000" w:rsidP="00000000" w:rsidRDefault="00000000" w:rsidRPr="00000000" w14:paraId="00000058">
      <w:pPr>
        <w:widowControl w:val="0"/>
        <w:spacing w:line="240" w:lineRule="auto"/>
        <w:ind w:left="284" w:hanging="284"/>
        <w:jc w:val="both"/>
        <w:rPr>
          <w:rFonts w:ascii="Calibri" w:cs="Calibri" w:eastAsia="Calibri" w:hAnsi="Calibri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spacing w:line="240" w:lineRule="auto"/>
        <w:ind w:left="284" w:hanging="284"/>
        <w:jc w:val="both"/>
        <w:rPr>
          <w:rFonts w:ascii="Calibri" w:cs="Calibri" w:eastAsia="Calibri" w:hAnsi="Calibri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spacing w:line="240" w:lineRule="auto"/>
        <w:ind w:left="284" w:hanging="284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pacing w:line="240" w:lineRule="auto"/>
        <w:ind w:left="284" w:hanging="284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luogo _____________________, lì ______________ </w:t>
      </w:r>
    </w:p>
    <w:p w:rsidR="00000000" w:rsidDel="00000000" w:rsidP="00000000" w:rsidRDefault="00000000" w:rsidRPr="00000000" w14:paraId="0000005C">
      <w:pPr>
        <w:widowControl w:val="0"/>
        <w:spacing w:before="241" w:line="240" w:lineRule="auto"/>
        <w:ind w:right="416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before="241" w:line="240" w:lineRule="auto"/>
        <w:ind w:right="416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spacing w:before="241" w:line="240" w:lineRule="auto"/>
        <w:ind w:right="416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IL LEGALE RAPPRESENTANTE________________________________________________________________</w:t>
      </w:r>
    </w:p>
    <w:p w:rsidR="00000000" w:rsidDel="00000000" w:rsidP="00000000" w:rsidRDefault="00000000" w:rsidRPr="00000000" w14:paraId="0000005F">
      <w:pPr>
        <w:widowControl w:val="0"/>
        <w:spacing w:before="222" w:line="240" w:lineRule="auto"/>
        <w:ind w:left="2552" w:right="837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sz w:val="16"/>
          <w:szCs w:val="16"/>
          <w:rtl w:val="0"/>
        </w:rPr>
        <w:t xml:space="preserve">firmato digitalmente ai sensi del testo unico D.P.R. 28/12/2000 n. 445, del D.Lgs. 07/03/2005 n. 82 e norme collegate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spacing w:before="222" w:line="240" w:lineRule="auto"/>
        <w:ind w:right="837"/>
        <w:jc w:val="right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spacing w:before="39" w:line="240" w:lineRule="auto"/>
        <w:ind w:right="593" w:firstLine="7"/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20" w:w="11906" w:orient="portrait"/>
      <w:pgMar w:bottom="1090" w:top="880" w:left="1119" w:right="728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62">
      <w:pPr>
        <w:widowControl w:val="0"/>
        <w:spacing w:line="240" w:lineRule="auto"/>
        <w:ind w:left="16" w:right="-12" w:firstLine="8.000000000000004"/>
        <w:jc w:val="both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color w:val="000000"/>
          <w:sz w:val="16"/>
          <w:szCs w:val="16"/>
          <w:rtl w:val="0"/>
        </w:rPr>
        <w:t xml:space="preserve">I soggetti di cui all’art. 94, comma 3, sono i seguenti: il titolare e direttore tecnico, se si tratta di impresa individuale; un socio o il direttore tecnico, se si tratta di società in nome collettivo; i soci accomandatari o il direttore tecnico, se si tratta di società in accomandita semplice; i membri del  consiglio di amministrazione cui sia stata conferita la legale rappresentanza, ivi compresi institori e procuratori generali, i membri degli organi con poteri di direzione o di vigilanza o i soggetti muniti di poteri di rappresentanza, di direzione o di controllo, il direttore tecnico o il socio unico persona  fisica, ovvero il socio di maggioranza in caso di società con meno di quattro soci, se si tratta di altro tipo di società o consorzio.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63">
      <w:pPr>
        <w:widowControl w:val="0"/>
        <w:spacing w:line="240" w:lineRule="auto"/>
        <w:ind w:firstLine="6"/>
        <w:jc w:val="both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vertAlign w:val="superscript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16"/>
          <w:szCs w:val="16"/>
          <w:rtl w:val="0"/>
        </w:rPr>
        <w:t xml:space="preserve">Ai sensi dell’art. 94, comma 6, del D. Lgs. n. 36/2023, “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16"/>
          <w:szCs w:val="16"/>
          <w:rtl w:val="0"/>
        </w:rPr>
        <w:t xml:space="preserve">costituiscono gravi violazioni quelle che comportano un omesso pagamento di imposte e tasse  superiore all’importo di cui all’articolo 48-bis, commi 1 e 2-bis del decreto del Presidente della Repubblica 29 settembre 1973, n. 602. Costituiscono  violazioni definitivamente accertate quelle contenute in sentenze o atti amministrativi non più soggetti ad impugnazione. Costituiscono gravi violazioni  in materia contributiva e previdenziale quelle ostative al rilascio del documento unico di regolarità contributiva (DURC), di cui all’articolo 8 del decreto  del Ministero del lavoro e delle politiche sociali 30 gennaio 2015, pubblicato sulla Gazzetta Ufficiale n. 125 del 1° giugno 2015.Il presente comma non  si applica quando l’operatore economico ha ottemperato ai suoi obblighi pagando o impegnandosi in modo vincolante a pagare le imposte o i contributi  previdenziali dovuti, compresi eventuali interessi o multe, purché il pagamento o l’impegno siano stati formalizzati prima della scadenza del termine  per la presentazione delle domande</w:t>
      </w:r>
      <w:r w:rsidDel="00000000" w:rsidR="00000000" w:rsidRPr="00000000">
        <w:rPr>
          <w:rFonts w:ascii="Calibri" w:cs="Calibri" w:eastAsia="Calibri" w:hAnsi="Calibri"/>
          <w:color w:val="000000"/>
          <w:sz w:val="16"/>
          <w:szCs w:val="16"/>
          <w:rtl w:val="0"/>
        </w:rPr>
        <w:t xml:space="preserve">”. 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2s8eyo1" w:id="9"/>
      <w:bookmarkEnd w:id="9"/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L'art. 98, comma 3, prevede tra le cause di esclusione: lettera b "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l'operatore economico abbia tentato di influenzare indebitamente il processo  decisionale della stazione appaltante o di ottenere informazioni riservate a fini di proprio vantaggio oppure abbia fornito, anche per negligenza, informazioni  false o fuorvianti suscettibili di influenzare le decisioni sull'esclusione, la selezione o l'aggiudicazione, ovvero abbia omesso le informazioni dovute ai fini del  corretto svolgimento della procedura di selezione; lettera c “l'operatore economico abbia dimostrato significative o persistenti carenze nell'esecuzione di un  precedente contratto di appalto o di concessione che ne hanno causato la risoluzione per inadempimento ovvero la condanna al risarcimento del danno o  altre sanzioni comparabili; su tali circostanze la stazione appaltante motiva anche con riferimento al tempo trascorso dalla violazione e alla gravità della  stessa;".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widowControl w:val="0"/>
      <w:spacing w:before="240" w:line="240" w:lineRule="auto"/>
      <w:ind w:left="17" w:firstLine="0"/>
      <w:jc w:val="center"/>
      <w:rPr/>
    </w:pPr>
    <w:r w:rsidDel="00000000" w:rsidR="00000000" w:rsidRPr="00000000">
      <w:rPr>
        <w:rFonts w:ascii="Calibri" w:cs="Calibri" w:eastAsia="Calibri" w:hAnsi="Calibri"/>
        <w:b w:val="1"/>
        <w:color w:val="000000"/>
        <w:sz w:val="19"/>
        <w:szCs w:val="19"/>
        <w:rtl w:val="0"/>
      </w:rPr>
      <w:t xml:space="preserve">Dichiarazione sostitutiva cause di esclusione di cui all'art. 94 del D. Lgs. n. 36/2023 e s.m.i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."/>
      <w:lvlJc w:val="left"/>
      <w:pPr>
        <w:ind w:left="371" w:hanging="360"/>
      </w:pPr>
      <w:rPr>
        <w:rFonts w:ascii="Calibri" w:cs="Calibri" w:eastAsia="Calibri" w:hAnsi="Calibri"/>
        <w:sz w:val="19"/>
        <w:szCs w:val="19"/>
      </w:rPr>
    </w:lvl>
    <w:lvl w:ilvl="1">
      <w:start w:val="1"/>
      <w:numFmt w:val="lowerLetter"/>
      <w:lvlText w:val="%2."/>
      <w:lvlJc w:val="left"/>
      <w:pPr>
        <w:ind w:left="1091" w:hanging="360"/>
      </w:pPr>
      <w:rPr/>
    </w:lvl>
    <w:lvl w:ilvl="2">
      <w:start w:val="1"/>
      <w:numFmt w:val="lowerRoman"/>
      <w:lvlText w:val="%3."/>
      <w:lvlJc w:val="right"/>
      <w:pPr>
        <w:ind w:left="1811" w:hanging="180"/>
      </w:pPr>
      <w:rPr/>
    </w:lvl>
    <w:lvl w:ilvl="3">
      <w:start w:val="1"/>
      <w:numFmt w:val="decimal"/>
      <w:lvlText w:val="%4."/>
      <w:lvlJc w:val="left"/>
      <w:pPr>
        <w:ind w:left="2531" w:hanging="360"/>
      </w:pPr>
      <w:rPr/>
    </w:lvl>
    <w:lvl w:ilvl="4">
      <w:start w:val="1"/>
      <w:numFmt w:val="lowerLetter"/>
      <w:lvlText w:val="%5."/>
      <w:lvlJc w:val="left"/>
      <w:pPr>
        <w:ind w:left="3251" w:hanging="360"/>
      </w:pPr>
      <w:rPr/>
    </w:lvl>
    <w:lvl w:ilvl="5">
      <w:start w:val="1"/>
      <w:numFmt w:val="lowerRoman"/>
      <w:lvlText w:val="%6."/>
      <w:lvlJc w:val="right"/>
      <w:pPr>
        <w:ind w:left="3971" w:hanging="180"/>
      </w:pPr>
      <w:rPr/>
    </w:lvl>
    <w:lvl w:ilvl="6">
      <w:start w:val="1"/>
      <w:numFmt w:val="decimal"/>
      <w:lvlText w:val="%7."/>
      <w:lvlJc w:val="left"/>
      <w:pPr>
        <w:ind w:left="4691" w:hanging="360"/>
      </w:pPr>
      <w:rPr/>
    </w:lvl>
    <w:lvl w:ilvl="7">
      <w:start w:val="1"/>
      <w:numFmt w:val="lowerLetter"/>
      <w:lvlText w:val="%8."/>
      <w:lvlJc w:val="left"/>
      <w:pPr>
        <w:ind w:left="5411" w:hanging="360"/>
      </w:pPr>
      <w:rPr/>
    </w:lvl>
    <w:lvl w:ilvl="8">
      <w:start w:val="1"/>
      <w:numFmt w:val="lowerRoman"/>
      <w:lvlText w:val="%9."/>
      <w:lvlJc w:val="right"/>
      <w:pPr>
        <w:ind w:left="6131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rFonts w:ascii="Calibri" w:cs="Calibri" w:eastAsia="Calibri" w:hAnsi="Calibri"/>
        <w:b w:val="0"/>
        <w:sz w:val="19"/>
        <w:szCs w:val="19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">
    <w:lvl w:ilvl="0">
      <w:start w:val="3"/>
      <w:numFmt w:val="lowerLetter"/>
      <w:lvlText w:val="%1."/>
      <w:lvlJc w:val="left"/>
      <w:pPr>
        <w:ind w:left="360" w:hanging="360"/>
      </w:pPr>
      <w:rPr>
        <w:rFonts w:ascii="Calibri" w:cs="Calibri" w:eastAsia="Calibri" w:hAnsi="Calibri"/>
        <w:sz w:val="19"/>
        <w:szCs w:val="19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00000a"/>
        <w:sz w:val="22"/>
        <w:szCs w:val="22"/>
        <w:lang w:val="it-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pPr>
      <w:spacing w:line="276" w:lineRule="auto"/>
    </w:pPr>
    <w:rPr>
      <w:color w:val="00000a"/>
      <w:sz w:val="22"/>
    </w:rPr>
  </w:style>
  <w:style w:type="paragraph" w:styleId="Titolo1">
    <w:name w:val="heading 1"/>
    <w:basedOn w:val="Normale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TestocommentoCarattere" w:customStyle="1">
    <w:name w:val="Testo commento Carattere"/>
    <w:basedOn w:val="Carpredefinitoparagrafo"/>
    <w:link w:val="Testocommento"/>
    <w:uiPriority w:val="99"/>
    <w:semiHidden w:val="1"/>
    <w:qFormat w:val="1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 w:val="1"/>
    <w:unhideWhenUsed w:val="1"/>
    <w:qFormat w:val="1"/>
    <w:rPr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qFormat w:val="1"/>
    <w:rsid w:val="002F650E"/>
    <w:rPr>
      <w:rFonts w:ascii="Tahoma" w:cs="Tahoma" w:hAnsi="Tahoma"/>
      <w:sz w:val="16"/>
      <w:szCs w:val="16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uiPriority w:val="99"/>
    <w:semiHidden w:val="1"/>
    <w:qFormat w:val="1"/>
    <w:rsid w:val="002F650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 w:val="1"/>
    <w:unhideWhenUsed w:val="1"/>
    <w:qFormat w:val="1"/>
    <w:rsid w:val="002F650E"/>
    <w:rPr>
      <w:vertAlign w:val="superscript"/>
    </w:rPr>
  </w:style>
  <w:style w:type="character" w:styleId="IntestazioneCarattere" w:customStyle="1">
    <w:name w:val="Intestazione Carattere"/>
    <w:basedOn w:val="Carpredefinitoparagrafo"/>
    <w:link w:val="Intestazione"/>
    <w:uiPriority w:val="99"/>
    <w:qFormat w:val="1"/>
    <w:rsid w:val="000F3B7F"/>
  </w:style>
  <w:style w:type="character" w:styleId="PidipaginaCarattere" w:customStyle="1">
    <w:name w:val="Piè di pagina Carattere"/>
    <w:basedOn w:val="Carpredefinitoparagrafo"/>
    <w:link w:val="Pidipagina"/>
    <w:uiPriority w:val="99"/>
    <w:qFormat w:val="1"/>
    <w:rsid w:val="000F3B7F"/>
  </w:style>
  <w:style w:type="character" w:styleId="ListLabel1" w:customStyle="1">
    <w:name w:val="ListLabel 1"/>
    <w:qFormat w:val="1"/>
    <w:rPr>
      <w:rFonts w:ascii="Calibri" w:hAnsi="Calibri"/>
      <w:sz w:val="19"/>
      <w:szCs w:val="22"/>
    </w:rPr>
  </w:style>
  <w:style w:type="character" w:styleId="ListLabel2" w:customStyle="1">
    <w:name w:val="ListLabel 2"/>
    <w:qFormat w:val="1"/>
    <w:rPr>
      <w:rFonts w:ascii="Calibri" w:hAnsi="Calibri"/>
      <w:b w:val="0"/>
      <w:sz w:val="19"/>
    </w:rPr>
  </w:style>
  <w:style w:type="character" w:styleId="ListLabel3" w:customStyle="1">
    <w:name w:val="ListLabel 3"/>
    <w:qFormat w:val="1"/>
    <w:rPr>
      <w:sz w:val="22"/>
    </w:rPr>
  </w:style>
  <w:style w:type="character" w:styleId="ListLabel4" w:customStyle="1">
    <w:name w:val="ListLabel 4"/>
    <w:qFormat w:val="1"/>
    <w:rPr>
      <w:sz w:val="22"/>
    </w:rPr>
  </w:style>
  <w:style w:type="character" w:styleId="ListLabel5" w:customStyle="1">
    <w:name w:val="ListLabel 5"/>
    <w:qFormat w:val="1"/>
    <w:rPr>
      <w:rFonts w:ascii="Calibri" w:hAnsi="Calibri"/>
      <w:sz w:val="19"/>
    </w:rPr>
  </w:style>
  <w:style w:type="character" w:styleId="Caratterinotaapidipagina" w:customStyle="1">
    <w:name w:val="Caratteri nota a piè di pagina"/>
    <w:qFormat w:val="1"/>
  </w:style>
  <w:style w:type="character" w:styleId="Richiamoallanotaapidipagina" w:customStyle="1">
    <w:name w:val="Richiamo alla nota a piè di pagina"/>
    <w:rPr>
      <w:vertAlign w:val="superscript"/>
    </w:rPr>
  </w:style>
  <w:style w:type="character" w:styleId="Richiamoallanotadichiusura" w:customStyle="1">
    <w:name w:val="Richiamo alla nota di chiusura"/>
    <w:rPr>
      <w:vertAlign w:val="superscript"/>
    </w:rPr>
  </w:style>
  <w:style w:type="character" w:styleId="Caratterinotadichiusura" w:customStyle="1">
    <w:name w:val="Caratteri nota di chiusura"/>
    <w:qFormat w:val="1"/>
  </w:style>
  <w:style w:type="character" w:styleId="ListLabel6" w:customStyle="1">
    <w:name w:val="ListLabel 6"/>
    <w:qFormat w:val="1"/>
    <w:rPr>
      <w:rFonts w:ascii="Calibri" w:hAnsi="Calibri"/>
      <w:sz w:val="19"/>
      <w:szCs w:val="22"/>
    </w:rPr>
  </w:style>
  <w:style w:type="character" w:styleId="ListLabel7" w:customStyle="1">
    <w:name w:val="ListLabel 7"/>
    <w:qFormat w:val="1"/>
    <w:rPr>
      <w:rFonts w:ascii="Calibri" w:hAnsi="Calibri"/>
      <w:b w:val="0"/>
      <w:sz w:val="19"/>
    </w:rPr>
  </w:style>
  <w:style w:type="character" w:styleId="ListLabel8" w:customStyle="1">
    <w:name w:val="ListLabel 8"/>
    <w:qFormat w:val="1"/>
    <w:rPr>
      <w:rFonts w:ascii="Calibri" w:hAnsi="Calibri"/>
      <w:sz w:val="19"/>
    </w:rPr>
  </w:style>
  <w:style w:type="character" w:styleId="ListLabel9" w:customStyle="1">
    <w:name w:val="ListLabel 9"/>
    <w:qFormat w:val="1"/>
    <w:rPr>
      <w:rFonts w:ascii="Calibri" w:hAnsi="Calibri"/>
      <w:sz w:val="19"/>
      <w:szCs w:val="22"/>
    </w:rPr>
  </w:style>
  <w:style w:type="character" w:styleId="ListLabel10" w:customStyle="1">
    <w:name w:val="ListLabel 10"/>
    <w:qFormat w:val="1"/>
    <w:rPr>
      <w:rFonts w:ascii="Calibri" w:hAnsi="Calibri"/>
      <w:b w:val="0"/>
      <w:sz w:val="19"/>
    </w:rPr>
  </w:style>
  <w:style w:type="character" w:styleId="ListLabel11" w:customStyle="1">
    <w:name w:val="ListLabel 11"/>
    <w:qFormat w:val="1"/>
    <w:rPr>
      <w:rFonts w:ascii="Calibri" w:hAnsi="Calibri"/>
      <w:sz w:val="19"/>
    </w:rPr>
  </w:style>
  <w:style w:type="character" w:styleId="ListLabel12" w:customStyle="1">
    <w:name w:val="ListLabel 12"/>
    <w:qFormat w:val="1"/>
    <w:rPr>
      <w:rFonts w:ascii="Calibri" w:hAnsi="Calibri"/>
      <w:sz w:val="19"/>
      <w:szCs w:val="22"/>
    </w:rPr>
  </w:style>
  <w:style w:type="character" w:styleId="ListLabel13" w:customStyle="1">
    <w:name w:val="ListLabel 13"/>
    <w:qFormat w:val="1"/>
    <w:rPr>
      <w:rFonts w:ascii="Calibri" w:hAnsi="Calibri"/>
      <w:b w:val="0"/>
      <w:sz w:val="19"/>
    </w:rPr>
  </w:style>
  <w:style w:type="character" w:styleId="ListLabel14" w:customStyle="1">
    <w:name w:val="ListLabel 14"/>
    <w:qFormat w:val="1"/>
    <w:rPr>
      <w:rFonts w:ascii="Calibri" w:hAnsi="Calibri"/>
      <w:sz w:val="19"/>
    </w:rPr>
  </w:style>
  <w:style w:type="paragraph" w:styleId="Titolo">
    <w:name w:val="Title"/>
    <w:basedOn w:val="Normale"/>
    <w:next w:val="Corpotesto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ascii="Times New Roman" w:hAnsi="Times New Roman"/>
    </w:rPr>
  </w:style>
  <w:style w:type="paragraph" w:styleId="Didascalia">
    <w:name w:val="caption"/>
    <w:basedOn w:val="Normale"/>
    <w:qFormat w:val="1"/>
    <w:pPr>
      <w:suppressLineNumbers w:val="1"/>
      <w:spacing w:after="120" w:before="120"/>
    </w:pPr>
    <w:rPr>
      <w:rFonts w:ascii="Times New Roman" w:hAnsi="Times New Roman"/>
      <w:i w:val="1"/>
      <w:iCs w:val="1"/>
      <w:sz w:val="24"/>
      <w:szCs w:val="24"/>
    </w:rPr>
  </w:style>
  <w:style w:type="paragraph" w:styleId="Indice" w:customStyle="1">
    <w:name w:val="Indice"/>
    <w:basedOn w:val="Normale"/>
    <w:qFormat w:val="1"/>
    <w:pPr>
      <w:suppressLineNumbers w:val="1"/>
    </w:pPr>
    <w:rPr>
      <w:rFonts w:ascii="Times New Roman" w:hAnsi="Times New Roman"/>
    </w:rPr>
  </w:style>
  <w:style w:type="paragraph" w:styleId="Sottotitolo">
    <w:name w:val="Subtitle"/>
    <w:basedOn w:val="Normale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stocommento">
    <w:name w:val="annotation text"/>
    <w:basedOn w:val="Normale"/>
    <w:link w:val="TestocommentoCarattere"/>
    <w:uiPriority w:val="99"/>
    <w:semiHidden w:val="1"/>
    <w:unhideWhenUsed w:val="1"/>
    <w:qFormat w:val="1"/>
    <w:pPr>
      <w:spacing w:line="240" w:lineRule="auto"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qFormat w:val="1"/>
    <w:rsid w:val="002F650E"/>
    <w:pPr>
      <w:spacing w:line="240" w:lineRule="auto"/>
    </w:pPr>
    <w:rPr>
      <w:rFonts w:ascii="Tahoma" w:cs="Tahoma" w:hAnsi="Tahoma"/>
      <w:sz w:val="16"/>
      <w:szCs w:val="16"/>
    </w:rPr>
  </w:style>
  <w:style w:type="paragraph" w:styleId="Testonotaapidipagina">
    <w:name w:val="footnote text"/>
    <w:basedOn w:val="Normale"/>
  </w:style>
  <w:style w:type="paragraph" w:styleId="Intestazione">
    <w:name w:val="header"/>
    <w:basedOn w:val="Normale"/>
    <w:link w:val="IntestazioneCarattere"/>
    <w:uiPriority w:val="99"/>
    <w:unhideWhenUsed w:val="1"/>
    <w:rsid w:val="000F3B7F"/>
    <w:pPr>
      <w:tabs>
        <w:tab w:val="center" w:pos="4819"/>
        <w:tab w:val="right" w:pos="9638"/>
      </w:tabs>
      <w:spacing w:line="240" w:lineRule="auto"/>
    </w:pPr>
  </w:style>
  <w:style w:type="paragraph" w:styleId="Pidipagina">
    <w:name w:val="footer"/>
    <w:basedOn w:val="Normale"/>
    <w:link w:val="PidipaginaCarattere"/>
    <w:uiPriority w:val="99"/>
    <w:unhideWhenUsed w:val="1"/>
    <w:rsid w:val="000F3B7F"/>
    <w:pPr>
      <w:tabs>
        <w:tab w:val="center" w:pos="4819"/>
        <w:tab w:val="right" w:pos="9638"/>
      </w:tabs>
      <w:spacing w:line="240" w:lineRule="auto"/>
    </w:pPr>
  </w:style>
  <w:style w:type="paragraph" w:styleId="Paragrafoelenco">
    <w:name w:val="List Paragraph"/>
    <w:basedOn w:val="Normale"/>
    <w:uiPriority w:val="34"/>
    <w:qFormat w:val="1"/>
    <w:rsid w:val="000F3B7F"/>
    <w:pPr>
      <w:ind w:left="720"/>
      <w:contextualSpacing w:val="1"/>
    </w:pPr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Grigliatabella">
    <w:name w:val="Table Grid"/>
    <w:basedOn w:val="Tabellanormale"/>
    <w:uiPriority w:val="59"/>
    <w:rsid w:val="007F7C3D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2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2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23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2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2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2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7NyMoLDo8l28/GyudZ/mo+ox1Ow==">CgMxLjAyCGguZ2pkZ3hzMgloLjMwajB6bGwyCWguMWZvYjl0ZTIJaC4zem55c2g3MgloLjJldDkycDAyCGgudHlqY3d0MgloLjNkeTZ2a20yCWguMXQzaDVzZjIJaC40ZDM0b2c4MgloLjJzOGV5bzE4AHIhMVNkTW9XTktJQ0VOd1FXVTRYdF81Wk1yeWNoNzEzVDZR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2023-05-02T14:49:00Z</dcterms:created>
  <dc:creator>CICCONE Furio u181083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Comune di Torino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