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61F5" w:rsidRDefault="000744E5" w:rsidP="003E3DCD">
      <w:pPr>
        <w:pBdr>
          <w:top w:val="nil"/>
          <w:left w:val="nil"/>
          <w:bottom w:val="nil"/>
          <w:right w:val="nil"/>
          <w:between w:val="nil"/>
        </w:pBdr>
        <w:spacing w:line="240" w:lineRule="auto"/>
        <w:ind w:left="0" w:right="-40" w:hanging="2"/>
        <w:rPr>
          <w:rFonts w:ascii="Bookman Old Style" w:eastAsia="Bookman Old Style" w:hAnsi="Bookman Old Style" w:cs="Bookman Old Style"/>
          <w:color w:val="000000"/>
          <w:sz w:val="22"/>
          <w:szCs w:val="22"/>
        </w:rPr>
      </w:pPr>
      <w:r>
        <w:rPr>
          <w:rFonts w:ascii="Bookman Old Style" w:eastAsia="Bookman Old Style" w:hAnsi="Bookman Old Style" w:cs="Bookman Old Style"/>
          <w:noProof/>
          <w:color w:val="000000"/>
          <w:sz w:val="22"/>
          <w:szCs w:val="22"/>
          <w:lang w:val="en-GB" w:eastAsia="en-GB"/>
        </w:rPr>
        <w:drawing>
          <wp:inline distT="0" distB="0" distL="114300" distR="114300">
            <wp:extent cx="1938655" cy="96647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938655" cy="966470"/>
                    </a:xfrm>
                    <a:prstGeom prst="rect">
                      <a:avLst/>
                    </a:prstGeom>
                    <a:ln/>
                  </pic:spPr>
                </pic:pic>
              </a:graphicData>
            </a:graphic>
          </wp:inline>
        </w:drawing>
      </w:r>
      <w:r>
        <w:rPr>
          <w:rFonts w:ascii="Bookman Old Style" w:eastAsia="Bookman Old Style" w:hAnsi="Bookman Old Style" w:cs="Bookman Old Style"/>
          <w:color w:val="000000"/>
          <w:sz w:val="22"/>
          <w:szCs w:val="22"/>
        </w:rPr>
        <w:t xml:space="preserve"> </w:t>
      </w:r>
      <w:r w:rsidR="003E3DCD">
        <w:rPr>
          <w:rFonts w:ascii="Bookman Old Style" w:eastAsia="Bookman Old Style" w:hAnsi="Bookman Old Style" w:cs="Bookman Old Style"/>
          <w:color w:val="000000"/>
          <w:sz w:val="22"/>
          <w:szCs w:val="22"/>
        </w:rPr>
        <w:t xml:space="preserve">   </w:t>
      </w:r>
      <w:r w:rsidR="003E3DCD">
        <w:rPr>
          <w:noProof/>
          <w:lang w:val="en-GB" w:eastAsia="en-GB"/>
        </w:rPr>
        <w:t xml:space="preserve">     </w:t>
      </w:r>
      <w:bookmarkStart w:id="0" w:name="_GoBack"/>
      <w:bookmarkEnd w:id="0"/>
      <w:r w:rsidR="003E3DCD">
        <w:rPr>
          <w:noProof/>
          <w:lang w:val="en-GB" w:eastAsia="en-GB"/>
        </w:rPr>
        <w:drawing>
          <wp:inline distT="0" distB="0" distL="0" distR="0">
            <wp:extent cx="1466850" cy="1047750"/>
            <wp:effectExtent l="0" t="0" r="0" b="0"/>
            <wp:docPr id="1" name="Immagine 1" descr="Logo_T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TC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850" cy="1047750"/>
                    </a:xfrm>
                    <a:prstGeom prst="rect">
                      <a:avLst/>
                    </a:prstGeom>
                    <a:noFill/>
                    <a:ln>
                      <a:noFill/>
                    </a:ln>
                  </pic:spPr>
                </pic:pic>
              </a:graphicData>
            </a:graphic>
          </wp:inline>
        </w:drawing>
      </w:r>
      <w:r w:rsidR="003E3DCD">
        <w:rPr>
          <w:noProof/>
          <w:lang w:val="en-GB" w:eastAsia="en-GB"/>
        </w:rPr>
        <w:t xml:space="preserve">               </w:t>
      </w:r>
      <w:r w:rsidR="003E3DCD">
        <w:rPr>
          <w:noProof/>
          <w:lang w:val="en-GB" w:eastAsia="en-GB"/>
        </w:rPr>
        <w:drawing>
          <wp:inline distT="0" distB="0" distL="0" distR="0">
            <wp:extent cx="1104900" cy="961516"/>
            <wp:effectExtent l="0" t="0" r="0" b="0"/>
            <wp:docPr id="2" name="Immagine 2" descr="ProGIReg_centred-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GIReg_centred-CMY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4900" cy="961516"/>
                    </a:xfrm>
                    <a:prstGeom prst="rect">
                      <a:avLst/>
                    </a:prstGeom>
                    <a:noFill/>
                    <a:ln>
                      <a:noFill/>
                    </a:ln>
                  </pic:spPr>
                </pic:pic>
              </a:graphicData>
            </a:graphic>
          </wp:inline>
        </w:drawing>
      </w:r>
    </w:p>
    <w:p w:rsidR="007661F5" w:rsidRDefault="007661F5" w:rsidP="00746C4D">
      <w:pPr>
        <w:pBdr>
          <w:top w:val="nil"/>
          <w:left w:val="nil"/>
          <w:bottom w:val="nil"/>
          <w:right w:val="nil"/>
          <w:between w:val="nil"/>
        </w:pBdr>
        <w:spacing w:line="240" w:lineRule="auto"/>
        <w:ind w:left="0" w:right="-40" w:hanging="2"/>
        <w:rPr>
          <w:rFonts w:ascii="Bookman Old Style" w:eastAsia="Bookman Old Style" w:hAnsi="Bookman Old Style" w:cs="Bookman Old Style"/>
          <w:color w:val="000000"/>
          <w:sz w:val="22"/>
          <w:szCs w:val="22"/>
        </w:rPr>
      </w:pPr>
    </w:p>
    <w:p w:rsidR="007661F5" w:rsidRDefault="000744E5" w:rsidP="00746C4D">
      <w:pPr>
        <w:pBdr>
          <w:top w:val="nil"/>
          <w:left w:val="nil"/>
          <w:bottom w:val="nil"/>
          <w:right w:val="nil"/>
          <w:between w:val="nil"/>
        </w:pBdr>
        <w:spacing w:line="240" w:lineRule="auto"/>
        <w:ind w:left="0" w:right="-40" w:hanging="2"/>
        <w:rPr>
          <w:rFonts w:ascii="Bookman Old Style" w:eastAsia="Bookman Old Style" w:hAnsi="Bookman Old Style" w:cs="Bookman Old Style"/>
          <w:color w:val="000000"/>
          <w:sz w:val="22"/>
          <w:szCs w:val="22"/>
        </w:rPr>
      </w:pPr>
      <w:r>
        <w:rPr>
          <w:rFonts w:ascii="Bookman Old Style" w:eastAsia="Bookman Old Style" w:hAnsi="Bookman Old Style" w:cs="Bookman Old Style"/>
          <w:b/>
          <w:color w:val="000000"/>
          <w:sz w:val="22"/>
          <w:szCs w:val="22"/>
        </w:rPr>
        <w:t>PROGETTO EUROPEO PROGIREG (CUP  C19G17000400006)</w:t>
      </w:r>
      <w:r>
        <w:rPr>
          <w:rFonts w:ascii="Bookman Old Style" w:eastAsia="Bookman Old Style" w:hAnsi="Bookman Old Style" w:cs="Bookman Old Style"/>
          <w:b/>
          <w:i/>
          <w:color w:val="000000"/>
          <w:sz w:val="22"/>
          <w:szCs w:val="22"/>
        </w:rPr>
        <w:t xml:space="preserve"> </w:t>
      </w:r>
      <w:r>
        <w:rPr>
          <w:rFonts w:ascii="Bookman Old Style" w:eastAsia="Bookman Old Style" w:hAnsi="Bookman Old Style" w:cs="Bookman Old Style"/>
          <w:b/>
          <w:color w:val="000000"/>
          <w:sz w:val="22"/>
          <w:szCs w:val="22"/>
        </w:rPr>
        <w:t xml:space="preserve">-  HORIZON 2020. AVVISO PUBBLICO “LIVING LAB ACQUAPONICA ProGIreg” -  ASSEGNAZIONE DI CONTRIBUTI A PROGETTI  </w:t>
      </w:r>
      <w:hyperlink r:id="rId12">
        <w:r>
          <w:rPr>
            <w:rFonts w:ascii="Bookman Old Style" w:eastAsia="Bookman Old Style" w:hAnsi="Bookman Old Style" w:cs="Bookman Old Style"/>
            <w:b/>
            <w:color w:val="000000"/>
            <w:sz w:val="22"/>
            <w:szCs w:val="22"/>
          </w:rPr>
          <w:t>DI</w:t>
        </w:r>
      </w:hyperlink>
      <w:r>
        <w:rPr>
          <w:rFonts w:ascii="Bookman Old Style" w:eastAsia="Bookman Old Style" w:hAnsi="Bookman Old Style" w:cs="Bookman Old Style"/>
          <w:color w:val="000000"/>
          <w:sz w:val="22"/>
          <w:szCs w:val="22"/>
        </w:rPr>
        <w:t xml:space="preserve"> </w:t>
      </w:r>
      <w:r>
        <w:rPr>
          <w:rFonts w:ascii="Bookman Old Style" w:eastAsia="Bookman Old Style" w:hAnsi="Bookman Old Style" w:cs="Bookman Old Style"/>
          <w:b/>
          <w:color w:val="000000"/>
          <w:sz w:val="22"/>
          <w:szCs w:val="22"/>
        </w:rPr>
        <w:t>SPERIMENTAZIONE DI SOLUZIONI INNOVATIVE DI ACQUAPONICA  IN CONDIZION</w:t>
      </w:r>
      <w:r>
        <w:rPr>
          <w:rFonts w:ascii="Bookman Old Style" w:eastAsia="Bookman Old Style" w:hAnsi="Bookman Old Style" w:cs="Bookman Old Style"/>
          <w:b/>
          <w:sz w:val="22"/>
          <w:szCs w:val="22"/>
        </w:rPr>
        <w:t>I</w:t>
      </w:r>
      <w:r>
        <w:rPr>
          <w:rFonts w:ascii="Bookman Old Style" w:eastAsia="Bookman Old Style" w:hAnsi="Bookman Old Style" w:cs="Bookman Old Style"/>
          <w:b/>
          <w:color w:val="000000"/>
          <w:sz w:val="22"/>
          <w:szCs w:val="22"/>
        </w:rPr>
        <w:t xml:space="preserve"> REALI.</w:t>
      </w:r>
    </w:p>
    <w:p w:rsidR="007661F5" w:rsidRDefault="007661F5" w:rsidP="00746C4D">
      <w:pPr>
        <w:keepNext/>
        <w:pBdr>
          <w:top w:val="nil"/>
          <w:left w:val="nil"/>
          <w:bottom w:val="nil"/>
          <w:right w:val="nil"/>
          <w:between w:val="nil"/>
        </w:pBdr>
        <w:spacing w:line="240" w:lineRule="auto"/>
        <w:ind w:left="0" w:hanging="2"/>
        <w:rPr>
          <w:rFonts w:ascii="Bookman Old Style" w:eastAsia="Bookman Old Style" w:hAnsi="Bookman Old Style" w:cs="Bookman Old Style"/>
          <w:b/>
          <w:color w:val="000000"/>
          <w:sz w:val="22"/>
          <w:szCs w:val="22"/>
        </w:rPr>
      </w:pPr>
    </w:p>
    <w:p w:rsidR="007661F5" w:rsidRDefault="000744E5" w:rsidP="00746C4D">
      <w:pPr>
        <w:keepNext/>
        <w:pBdr>
          <w:top w:val="nil"/>
          <w:left w:val="nil"/>
          <w:bottom w:val="nil"/>
          <w:right w:val="nil"/>
          <w:between w:val="nil"/>
        </w:pBdr>
        <w:spacing w:line="240" w:lineRule="auto"/>
        <w:ind w:left="0" w:hanging="2"/>
        <w:jc w:val="center"/>
        <w:rPr>
          <w:rFonts w:ascii="Bookman Old Style" w:eastAsia="Bookman Old Style" w:hAnsi="Bookman Old Style" w:cs="Bookman Old Style"/>
          <w:b/>
          <w:color w:val="000000"/>
          <w:sz w:val="22"/>
          <w:szCs w:val="22"/>
        </w:rPr>
      </w:pPr>
      <w:r>
        <w:rPr>
          <w:rFonts w:ascii="Bookman Old Style" w:eastAsia="Bookman Old Style" w:hAnsi="Bookman Old Style" w:cs="Bookman Old Style"/>
          <w:b/>
          <w:color w:val="000000"/>
          <w:sz w:val="22"/>
          <w:szCs w:val="22"/>
        </w:rPr>
        <w:t>ALLEGATO 1d</w:t>
      </w:r>
    </w:p>
    <w:p w:rsidR="007661F5" w:rsidRDefault="007661F5" w:rsidP="00746C4D">
      <w:pPr>
        <w:pBdr>
          <w:top w:val="nil"/>
          <w:left w:val="nil"/>
          <w:bottom w:val="nil"/>
          <w:right w:val="nil"/>
          <w:between w:val="nil"/>
        </w:pBdr>
        <w:spacing w:line="240" w:lineRule="auto"/>
        <w:ind w:left="0" w:hanging="2"/>
        <w:rPr>
          <w:rFonts w:ascii="Bookman Old Style" w:eastAsia="Bookman Old Style" w:hAnsi="Bookman Old Style" w:cs="Bookman Old Style"/>
          <w:color w:val="000000"/>
          <w:sz w:val="22"/>
          <w:szCs w:val="22"/>
        </w:rPr>
      </w:pPr>
    </w:p>
    <w:p w:rsidR="007661F5" w:rsidRDefault="000744E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r>
        <w:rPr>
          <w:rFonts w:ascii="Bookman Old Style" w:eastAsia="Bookman Old Style" w:hAnsi="Bookman Old Style" w:cs="Bookman Old Style"/>
          <w:b/>
          <w:color w:val="000000"/>
          <w:sz w:val="22"/>
          <w:szCs w:val="22"/>
        </w:rPr>
        <w:t>DICHIARAZIONE AIUTI “DE MINIMIS”</w:t>
      </w:r>
    </w:p>
    <w:p w:rsidR="007661F5" w:rsidRDefault="000744E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r>
        <w:rPr>
          <w:rFonts w:ascii="Bookman Old Style" w:eastAsia="Bookman Old Style" w:hAnsi="Bookman Old Style" w:cs="Bookman Old Style"/>
          <w:b/>
          <w:color w:val="000000"/>
          <w:sz w:val="22"/>
          <w:szCs w:val="22"/>
        </w:rPr>
        <w:t>(sostitutiva dell’atto di notorietà – art. 46 e 47 D.P.R. 28/12/2000 n. 445)</w:t>
      </w:r>
    </w:p>
    <w:p w:rsidR="007661F5" w:rsidRDefault="007661F5" w:rsidP="00746C4D">
      <w:pPr>
        <w:pBdr>
          <w:top w:val="nil"/>
          <w:left w:val="nil"/>
          <w:bottom w:val="nil"/>
          <w:right w:val="nil"/>
          <w:between w:val="nil"/>
        </w:pBdr>
        <w:spacing w:line="240" w:lineRule="auto"/>
        <w:ind w:left="0" w:hanging="2"/>
        <w:rPr>
          <w:rFonts w:ascii="Bookman Old Style" w:eastAsia="Bookman Old Style" w:hAnsi="Bookman Old Style" w:cs="Bookman Old Style"/>
          <w:color w:val="000000"/>
          <w:sz w:val="22"/>
          <w:szCs w:val="22"/>
        </w:rPr>
      </w:pPr>
    </w:p>
    <w:p w:rsidR="007661F5" w:rsidRDefault="000744E5" w:rsidP="00746C4D">
      <w:pPr>
        <w:keepNext/>
        <w:pBdr>
          <w:top w:val="nil"/>
          <w:left w:val="nil"/>
          <w:bottom w:val="nil"/>
          <w:right w:val="nil"/>
          <w:between w:val="nil"/>
        </w:pBdr>
        <w:spacing w:line="240" w:lineRule="auto"/>
        <w:ind w:left="0" w:hanging="2"/>
        <w:jc w:val="center"/>
        <w:rPr>
          <w:rFonts w:ascii="Bookman Old Style" w:eastAsia="Bookman Old Style" w:hAnsi="Bookman Old Style" w:cs="Bookman Old Style"/>
          <w:b/>
          <w:color w:val="000000"/>
          <w:sz w:val="22"/>
          <w:szCs w:val="22"/>
          <w:u w:val="single"/>
        </w:rPr>
      </w:pPr>
      <w:r>
        <w:rPr>
          <w:rFonts w:ascii="Bookman Old Style" w:eastAsia="Bookman Old Style" w:hAnsi="Bookman Old Style" w:cs="Bookman Old Style"/>
          <w:b/>
          <w:color w:val="000000"/>
          <w:sz w:val="22"/>
          <w:szCs w:val="22"/>
          <w:u w:val="single"/>
        </w:rPr>
        <w:t>solo per progetti con carattere imprenditoriale</w:t>
      </w:r>
    </w:p>
    <w:p w:rsidR="007661F5" w:rsidRDefault="007661F5" w:rsidP="00746C4D">
      <w:pPr>
        <w:keepNext/>
        <w:pBdr>
          <w:top w:val="nil"/>
          <w:left w:val="nil"/>
          <w:bottom w:val="nil"/>
          <w:right w:val="nil"/>
          <w:between w:val="nil"/>
        </w:pBdr>
        <w:spacing w:line="240" w:lineRule="auto"/>
        <w:ind w:left="0" w:hanging="2"/>
        <w:rPr>
          <w:rFonts w:ascii="Bookman Old Style" w:eastAsia="Bookman Old Style" w:hAnsi="Bookman Old Style" w:cs="Bookman Old Style"/>
          <w:b/>
          <w:color w:val="000000"/>
          <w:sz w:val="22"/>
          <w:szCs w:val="22"/>
        </w:rPr>
      </w:pPr>
    </w:p>
    <w:p w:rsidR="007661F5" w:rsidRDefault="007661F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u w:val="single"/>
        </w:rPr>
      </w:pPr>
    </w:p>
    <w:p w:rsidR="007661F5" w:rsidRDefault="007661F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u w:val="single"/>
        </w:rPr>
      </w:pPr>
    </w:p>
    <w:p w:rsidR="007661F5" w:rsidRDefault="000744E5" w:rsidP="00746C4D">
      <w:p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Il sottoscritto __________________________________, nato a ________________________ il ______________, residente in ______________________________________, in qualità di legale rappresentante della società /organizzazione__________________________________________ con sede legale in _______________________________________________, in attuazione del Decreto MIBACT 11 maggio 2016 che rientra negli aiuti soggetti alla regola del “de </w:t>
      </w:r>
      <w:proofErr w:type="spellStart"/>
      <w:r>
        <w:rPr>
          <w:rFonts w:ascii="Bookman Old Style" w:eastAsia="Bookman Old Style" w:hAnsi="Bookman Old Style" w:cs="Bookman Old Style"/>
          <w:color w:val="000000"/>
          <w:sz w:val="22"/>
          <w:szCs w:val="22"/>
        </w:rPr>
        <w:t>minimis</w:t>
      </w:r>
      <w:proofErr w:type="spellEnd"/>
      <w:r>
        <w:rPr>
          <w:rFonts w:ascii="Bookman Old Style" w:eastAsia="Bookman Old Style" w:hAnsi="Bookman Old Style" w:cs="Bookman Old Style"/>
          <w:color w:val="000000"/>
          <w:sz w:val="22"/>
          <w:szCs w:val="22"/>
        </w:rPr>
        <w:t>” di cui al Regolamento (UE) n. 1407/2013 del 18 dicembre 2013 pubblicato nella GUUE L 352 del 24/12/2013 e successive modificazioni e integrazioni</w:t>
      </w:r>
    </w:p>
    <w:p w:rsidR="007661F5" w:rsidRDefault="007661F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p>
    <w:p w:rsidR="007661F5" w:rsidRDefault="000744E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r>
        <w:rPr>
          <w:rFonts w:ascii="Bookman Old Style" w:eastAsia="Bookman Old Style" w:hAnsi="Bookman Old Style" w:cs="Bookman Old Style"/>
          <w:b/>
          <w:color w:val="000000"/>
          <w:sz w:val="22"/>
          <w:szCs w:val="22"/>
        </w:rPr>
        <w:t>Preso atto</w:t>
      </w:r>
    </w:p>
    <w:p w:rsidR="007661F5" w:rsidRDefault="000744E5" w:rsidP="00746C4D">
      <w:pPr>
        <w:pBdr>
          <w:top w:val="nil"/>
          <w:left w:val="nil"/>
          <w:bottom w:val="nil"/>
          <w:right w:val="nil"/>
          <w:between w:val="nil"/>
        </w:pBdr>
        <w:spacing w:line="240" w:lineRule="auto"/>
        <w:ind w:left="0" w:hanging="2"/>
        <w:rPr>
          <w:rFonts w:ascii="Bookman Old Style" w:eastAsia="Bookman Old Style" w:hAnsi="Bookman Old Style" w:cs="Bookman Old Style"/>
          <w:color w:val="000000"/>
          <w:sz w:val="22"/>
          <w:szCs w:val="22"/>
        </w:rPr>
      </w:pPr>
      <w:r>
        <w:rPr>
          <w:rFonts w:ascii="Bookman Old Style" w:eastAsia="Bookman Old Style" w:hAnsi="Bookman Old Style" w:cs="Bookman Old Style"/>
          <w:b/>
          <w:color w:val="000000"/>
          <w:sz w:val="22"/>
          <w:szCs w:val="22"/>
        </w:rPr>
        <w:t xml:space="preserve"> </w:t>
      </w:r>
    </w:p>
    <w:p w:rsidR="007661F5" w:rsidRDefault="000744E5" w:rsidP="00746C4D">
      <w:p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che la Commissione Europea con il proprio Regolamento (UE) n. 1407/2013 del 18 dicembre 2013</w:t>
      </w:r>
      <w:r>
        <w:rPr>
          <w:rFonts w:ascii="Bookman Old Style" w:eastAsia="Bookman Old Style" w:hAnsi="Bookman Old Style" w:cs="Bookman Old Style"/>
          <w:color w:val="000000"/>
          <w:sz w:val="22"/>
          <w:szCs w:val="22"/>
          <w:vertAlign w:val="superscript"/>
        </w:rPr>
        <w:footnoteReference w:id="1"/>
      </w:r>
      <w:r>
        <w:rPr>
          <w:rFonts w:ascii="Bookman Old Style" w:eastAsia="Bookman Old Style" w:hAnsi="Bookman Old Style" w:cs="Bookman Old Style"/>
          <w:color w:val="000000"/>
          <w:sz w:val="22"/>
          <w:szCs w:val="22"/>
        </w:rPr>
        <w:t xml:space="preserve"> ha stabilito: </w:t>
      </w:r>
    </w:p>
    <w:p w:rsidR="007661F5" w:rsidRDefault="000744E5" w:rsidP="00746C4D">
      <w:pPr>
        <w:pBdr>
          <w:top w:val="nil"/>
          <w:left w:val="nil"/>
          <w:bottom w:val="nil"/>
          <w:right w:val="nil"/>
          <w:between w:val="nil"/>
        </w:pBdr>
        <w:spacing w:line="240" w:lineRule="auto"/>
        <w:ind w:left="0" w:hanging="2"/>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 </w:t>
      </w:r>
    </w:p>
    <w:p w:rsidR="007661F5" w:rsidRDefault="000744E5" w:rsidP="00746C4D">
      <w:pPr>
        <w:numPr>
          <w:ilvl w:val="0"/>
          <w:numId w:val="1"/>
        </w:num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che l’importo massimo complessivo di aiuti pubblici “</w:t>
      </w:r>
      <w:r>
        <w:rPr>
          <w:rFonts w:ascii="Bookman Old Style" w:eastAsia="Bookman Old Style" w:hAnsi="Bookman Old Style" w:cs="Bookman Old Style"/>
          <w:i/>
          <w:color w:val="000000"/>
          <w:sz w:val="22"/>
          <w:szCs w:val="22"/>
        </w:rPr>
        <w:t xml:space="preserve">de </w:t>
      </w:r>
      <w:proofErr w:type="spellStart"/>
      <w:r>
        <w:rPr>
          <w:rFonts w:ascii="Bookman Old Style" w:eastAsia="Bookman Old Style" w:hAnsi="Bookman Old Style" w:cs="Bookman Old Style"/>
          <w:i/>
          <w:color w:val="000000"/>
          <w:sz w:val="22"/>
          <w:szCs w:val="22"/>
        </w:rPr>
        <w:t>minimis</w:t>
      </w:r>
      <w:proofErr w:type="spellEnd"/>
      <w:r>
        <w:rPr>
          <w:rFonts w:ascii="Bookman Old Style" w:eastAsia="Bookman Old Style" w:hAnsi="Bookman Old Style" w:cs="Bookman Old Style"/>
          <w:color w:val="000000"/>
          <w:sz w:val="22"/>
          <w:szCs w:val="22"/>
        </w:rPr>
        <w:t>” che possono essere concessi a un’impresa unica</w:t>
      </w:r>
      <w:r>
        <w:rPr>
          <w:rFonts w:ascii="Bookman Old Style" w:eastAsia="Bookman Old Style" w:hAnsi="Bookman Old Style" w:cs="Bookman Old Style"/>
          <w:color w:val="000000"/>
          <w:sz w:val="22"/>
          <w:szCs w:val="22"/>
          <w:vertAlign w:val="superscript"/>
        </w:rPr>
        <w:footnoteReference w:id="2"/>
      </w:r>
      <w:r>
        <w:rPr>
          <w:rFonts w:ascii="Bookman Old Style" w:eastAsia="Bookman Old Style" w:hAnsi="Bookman Old Style" w:cs="Bookman Old Style"/>
          <w:color w:val="000000"/>
          <w:sz w:val="22"/>
          <w:szCs w:val="22"/>
        </w:rPr>
        <w:t xml:space="preserve"> nell’arco di tre esercizi finanziari</w:t>
      </w:r>
      <w:r>
        <w:rPr>
          <w:rFonts w:ascii="Bookman Old Style" w:eastAsia="Bookman Old Style" w:hAnsi="Bookman Old Style" w:cs="Bookman Old Style"/>
          <w:color w:val="000000"/>
          <w:sz w:val="22"/>
          <w:szCs w:val="22"/>
          <w:vertAlign w:val="superscript"/>
        </w:rPr>
        <w:footnoteReference w:id="3"/>
      </w:r>
      <w:r>
        <w:rPr>
          <w:rFonts w:ascii="Bookman Old Style" w:eastAsia="Bookman Old Style" w:hAnsi="Bookman Old Style" w:cs="Bookman Old Style"/>
          <w:color w:val="000000"/>
          <w:sz w:val="22"/>
          <w:szCs w:val="22"/>
        </w:rPr>
        <w:t xml:space="preserve"> - senza la preventiva notifica ed autorizzazione da parte della Commissione Europea - è pari a € 200.000,00 (€ 100.000,00 se l’impresa opera nel settore del trasporto di merci su strada per conto terzi</w:t>
      </w:r>
      <w:r>
        <w:rPr>
          <w:rFonts w:ascii="Bookman Old Style" w:eastAsia="Bookman Old Style" w:hAnsi="Bookman Old Style" w:cs="Bookman Old Style"/>
          <w:color w:val="000000"/>
          <w:sz w:val="22"/>
          <w:szCs w:val="22"/>
          <w:vertAlign w:val="superscript"/>
        </w:rPr>
        <w:footnoteReference w:id="4"/>
      </w:r>
      <w:r>
        <w:rPr>
          <w:rFonts w:ascii="Bookman Old Style" w:eastAsia="Bookman Old Style" w:hAnsi="Bookman Old Style" w:cs="Bookman Old Style"/>
          <w:i/>
          <w:color w:val="000000"/>
          <w:sz w:val="22"/>
          <w:szCs w:val="22"/>
        </w:rPr>
        <w:t>)</w:t>
      </w:r>
      <w:r>
        <w:rPr>
          <w:rFonts w:ascii="Bookman Old Style" w:eastAsia="Bookman Old Style" w:hAnsi="Bookman Old Style" w:cs="Bookman Old Style"/>
          <w:color w:val="000000"/>
          <w:sz w:val="22"/>
          <w:szCs w:val="22"/>
        </w:rPr>
        <w:t xml:space="preserve">; </w:t>
      </w:r>
    </w:p>
    <w:p w:rsidR="007661F5" w:rsidRDefault="000744E5" w:rsidP="00746C4D">
      <w:pPr>
        <w:numPr>
          <w:ilvl w:val="0"/>
          <w:numId w:val="1"/>
        </w:num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lastRenderedPageBreak/>
        <w:t xml:space="preserve">che gli aiuti </w:t>
      </w:r>
      <w:r>
        <w:rPr>
          <w:rFonts w:ascii="Bookman Old Style" w:eastAsia="Bookman Old Style" w:hAnsi="Bookman Old Style" w:cs="Bookman Old Style"/>
          <w:i/>
          <w:color w:val="000000"/>
          <w:sz w:val="22"/>
          <w:szCs w:val="22"/>
        </w:rPr>
        <w:t xml:space="preserve">de </w:t>
      </w:r>
      <w:proofErr w:type="spellStart"/>
      <w:r>
        <w:rPr>
          <w:rFonts w:ascii="Bookman Old Style" w:eastAsia="Bookman Old Style" w:hAnsi="Bookman Old Style" w:cs="Bookman Old Style"/>
          <w:i/>
          <w:color w:val="000000"/>
          <w:sz w:val="22"/>
          <w:szCs w:val="22"/>
        </w:rPr>
        <w:t>minimis</w:t>
      </w:r>
      <w:proofErr w:type="spellEnd"/>
      <w:r>
        <w:rPr>
          <w:rFonts w:ascii="Bookman Old Style" w:eastAsia="Bookman Old Style" w:hAnsi="Bookman Old Style" w:cs="Bookman Old Style"/>
          <w:color w:val="000000"/>
          <w:sz w:val="22"/>
          <w:szCs w:val="22"/>
        </w:rPr>
        <w:t xml:space="preserve"> sono considerati concessi nel momento in cui all’impresa è accordato il diritto di ricevere gli aiuti, indipendentemente dalla data di erogazione degli aiuti all’impresa; </w:t>
      </w:r>
    </w:p>
    <w:p w:rsidR="007661F5" w:rsidRDefault="000744E5" w:rsidP="00746C4D">
      <w:pPr>
        <w:numPr>
          <w:ilvl w:val="0"/>
          <w:numId w:val="1"/>
        </w:num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che gli aiuti </w:t>
      </w:r>
      <w:r>
        <w:rPr>
          <w:rFonts w:ascii="Bookman Old Style" w:eastAsia="Bookman Old Style" w:hAnsi="Bookman Old Style" w:cs="Bookman Old Style"/>
          <w:i/>
          <w:color w:val="000000"/>
          <w:sz w:val="22"/>
          <w:szCs w:val="22"/>
        </w:rPr>
        <w:t xml:space="preserve">de </w:t>
      </w:r>
      <w:proofErr w:type="spellStart"/>
      <w:r>
        <w:rPr>
          <w:rFonts w:ascii="Bookman Old Style" w:eastAsia="Bookman Old Style" w:hAnsi="Bookman Old Style" w:cs="Bookman Old Style"/>
          <w:i/>
          <w:color w:val="000000"/>
          <w:sz w:val="22"/>
          <w:szCs w:val="22"/>
        </w:rPr>
        <w:t>minimis</w:t>
      </w:r>
      <w:proofErr w:type="spellEnd"/>
      <w:r>
        <w:rPr>
          <w:rFonts w:ascii="Bookman Old Style" w:eastAsia="Bookman Old Style" w:hAnsi="Bookman Old Style" w:cs="Bookman Old Style"/>
          <w:color w:val="000000"/>
          <w:sz w:val="22"/>
          <w:szCs w:val="22"/>
        </w:rPr>
        <w:t xml:space="preserve"> possono essere cumulati (i) con gli aiuti </w:t>
      </w:r>
      <w:r>
        <w:rPr>
          <w:rFonts w:ascii="Bookman Old Style" w:eastAsia="Bookman Old Style" w:hAnsi="Bookman Old Style" w:cs="Bookman Old Style"/>
          <w:i/>
          <w:color w:val="000000"/>
          <w:sz w:val="22"/>
          <w:szCs w:val="22"/>
        </w:rPr>
        <w:t xml:space="preserve">de </w:t>
      </w:r>
      <w:proofErr w:type="spellStart"/>
      <w:r>
        <w:rPr>
          <w:rFonts w:ascii="Bookman Old Style" w:eastAsia="Bookman Old Style" w:hAnsi="Bookman Old Style" w:cs="Bookman Old Style"/>
          <w:i/>
          <w:color w:val="000000"/>
          <w:sz w:val="22"/>
          <w:szCs w:val="22"/>
        </w:rPr>
        <w:t>minimis</w:t>
      </w:r>
      <w:proofErr w:type="spellEnd"/>
      <w:r>
        <w:rPr>
          <w:rFonts w:ascii="Bookman Old Style" w:eastAsia="Bookman Old Style" w:hAnsi="Bookman Old Style" w:cs="Bookman Old Style"/>
          <w:color w:val="000000"/>
          <w:sz w:val="22"/>
          <w:szCs w:val="22"/>
        </w:rPr>
        <w:t xml:space="preserve"> concessi a norma del Regolamento (UE) n. 360/2012 della Commissione (aiuti </w:t>
      </w:r>
      <w:r>
        <w:rPr>
          <w:rFonts w:ascii="Bookman Old Style" w:eastAsia="Bookman Old Style" w:hAnsi="Bookman Old Style" w:cs="Bookman Old Style"/>
          <w:i/>
          <w:color w:val="000000"/>
          <w:sz w:val="22"/>
          <w:szCs w:val="22"/>
        </w:rPr>
        <w:t xml:space="preserve">de </w:t>
      </w:r>
      <w:proofErr w:type="spellStart"/>
      <w:r>
        <w:rPr>
          <w:rFonts w:ascii="Bookman Old Style" w:eastAsia="Bookman Old Style" w:hAnsi="Bookman Old Style" w:cs="Bookman Old Style"/>
          <w:i/>
          <w:color w:val="000000"/>
          <w:sz w:val="22"/>
          <w:szCs w:val="22"/>
        </w:rPr>
        <w:t>minimis</w:t>
      </w:r>
      <w:proofErr w:type="spellEnd"/>
      <w:r>
        <w:rPr>
          <w:rFonts w:ascii="Bookman Old Style" w:eastAsia="Bookman Old Style" w:hAnsi="Bookman Old Style" w:cs="Bookman Old Style"/>
          <w:color w:val="000000"/>
          <w:sz w:val="22"/>
          <w:szCs w:val="22"/>
        </w:rPr>
        <w:t xml:space="preserve"> a imprese che forniscono Servizi di Interesse Economico Generale) nel rispetto del massimale previsto in tale Regolamento e (ii) con gli aiuti </w:t>
      </w:r>
      <w:r>
        <w:rPr>
          <w:rFonts w:ascii="Bookman Old Style" w:eastAsia="Bookman Old Style" w:hAnsi="Bookman Old Style" w:cs="Bookman Old Style"/>
          <w:i/>
          <w:color w:val="000000"/>
          <w:sz w:val="22"/>
          <w:szCs w:val="22"/>
        </w:rPr>
        <w:t xml:space="preserve">de </w:t>
      </w:r>
      <w:proofErr w:type="spellStart"/>
      <w:r>
        <w:rPr>
          <w:rFonts w:ascii="Bookman Old Style" w:eastAsia="Bookman Old Style" w:hAnsi="Bookman Old Style" w:cs="Bookman Old Style"/>
          <w:i/>
          <w:color w:val="000000"/>
          <w:sz w:val="22"/>
          <w:szCs w:val="22"/>
        </w:rPr>
        <w:t>minimis</w:t>
      </w:r>
      <w:proofErr w:type="spellEnd"/>
      <w:r>
        <w:rPr>
          <w:rFonts w:ascii="Bookman Old Style" w:eastAsia="Bookman Old Style" w:hAnsi="Bookman Old Style" w:cs="Bookman Old Style"/>
          <w:color w:val="000000"/>
          <w:sz w:val="22"/>
          <w:szCs w:val="22"/>
        </w:rPr>
        <w:t xml:space="preserve"> concessi a norma di altri regolamenti </w:t>
      </w:r>
      <w:r>
        <w:rPr>
          <w:rFonts w:ascii="Bookman Old Style" w:eastAsia="Bookman Old Style" w:hAnsi="Bookman Old Style" w:cs="Bookman Old Style"/>
          <w:i/>
          <w:color w:val="000000"/>
          <w:sz w:val="22"/>
          <w:szCs w:val="22"/>
        </w:rPr>
        <w:t xml:space="preserve">de </w:t>
      </w:r>
      <w:proofErr w:type="spellStart"/>
      <w:r>
        <w:rPr>
          <w:rFonts w:ascii="Bookman Old Style" w:eastAsia="Bookman Old Style" w:hAnsi="Bookman Old Style" w:cs="Bookman Old Style"/>
          <w:i/>
          <w:color w:val="000000"/>
          <w:sz w:val="22"/>
          <w:szCs w:val="22"/>
        </w:rPr>
        <w:t>minimis</w:t>
      </w:r>
      <w:proofErr w:type="spellEnd"/>
      <w:r>
        <w:rPr>
          <w:rFonts w:ascii="Bookman Old Style" w:eastAsia="Bookman Old Style" w:hAnsi="Bookman Old Style" w:cs="Bookman Old Style"/>
          <w:color w:val="000000"/>
          <w:sz w:val="22"/>
          <w:szCs w:val="22"/>
        </w:rPr>
        <w:t xml:space="preserve"> purché non superino il massimale di € 200.000,00 (€ 100.000,00 se l’impresa opera nel settore del trasporto di merci su strada per conto terzi); </w:t>
      </w:r>
    </w:p>
    <w:p w:rsidR="007661F5" w:rsidRDefault="000744E5" w:rsidP="00746C4D">
      <w:pPr>
        <w:numPr>
          <w:ilvl w:val="0"/>
          <w:numId w:val="1"/>
        </w:num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che gli aiuti </w:t>
      </w:r>
      <w:r>
        <w:rPr>
          <w:rFonts w:ascii="Bookman Old Style" w:eastAsia="Bookman Old Style" w:hAnsi="Bookman Old Style" w:cs="Bookman Old Style"/>
          <w:i/>
          <w:color w:val="000000"/>
          <w:sz w:val="22"/>
          <w:szCs w:val="22"/>
        </w:rPr>
        <w:t xml:space="preserve">de </w:t>
      </w:r>
      <w:proofErr w:type="spellStart"/>
      <w:r>
        <w:rPr>
          <w:rFonts w:ascii="Bookman Old Style" w:eastAsia="Bookman Old Style" w:hAnsi="Bookman Old Style" w:cs="Bookman Old Style"/>
          <w:i/>
          <w:color w:val="000000"/>
          <w:sz w:val="22"/>
          <w:szCs w:val="22"/>
        </w:rPr>
        <w:t>minimis</w:t>
      </w:r>
      <w:proofErr w:type="spellEnd"/>
      <w:r>
        <w:rPr>
          <w:rFonts w:ascii="Bookman Old Style" w:eastAsia="Bookman Old Style" w:hAnsi="Bookman Old Style" w:cs="Bookman Old Style"/>
          <w:color w:val="000000"/>
          <w:sz w:val="22"/>
          <w:szCs w:val="22"/>
        </w:rPr>
        <w:t xml:space="preserve"> non sono cumulabili con aiuti di Stato concessi per gli stessi costi ammissibili o con aiuti di Stato relativi alla stessa misura di finanziamento del rischio se tale cumulo comporta il superamento dell’intensità di aiuto o dell’importo di aiuto più elevati fissati, per le specifiche circostanze di ogni caso, in un regolamento d’esenzione per categoria o in una decisione della Commissione; gli aiuti </w:t>
      </w:r>
      <w:r>
        <w:rPr>
          <w:rFonts w:ascii="Bookman Old Style" w:eastAsia="Bookman Old Style" w:hAnsi="Bookman Old Style" w:cs="Bookman Old Style"/>
          <w:i/>
          <w:color w:val="000000"/>
          <w:sz w:val="22"/>
          <w:szCs w:val="22"/>
        </w:rPr>
        <w:t xml:space="preserve">de </w:t>
      </w:r>
      <w:proofErr w:type="spellStart"/>
      <w:r>
        <w:rPr>
          <w:rFonts w:ascii="Bookman Old Style" w:eastAsia="Bookman Old Style" w:hAnsi="Bookman Old Style" w:cs="Bookman Old Style"/>
          <w:i/>
          <w:color w:val="000000"/>
          <w:sz w:val="22"/>
          <w:szCs w:val="22"/>
        </w:rPr>
        <w:t>minimis</w:t>
      </w:r>
      <w:proofErr w:type="spellEnd"/>
      <w:r>
        <w:rPr>
          <w:rFonts w:ascii="Bookman Old Style" w:eastAsia="Bookman Old Style" w:hAnsi="Bookman Old Style" w:cs="Bookman Old Style"/>
          <w:color w:val="000000"/>
          <w:sz w:val="22"/>
          <w:szCs w:val="22"/>
        </w:rPr>
        <w:t xml:space="preserve"> non concessi per specifici costi ammissibili possono invece essere cumulati con altri aiuti di Stato concessi sulla base di un regolamento di esenzione per categoria o di una decisione della Commissione; </w:t>
      </w:r>
    </w:p>
    <w:p w:rsidR="007661F5" w:rsidRDefault="000744E5" w:rsidP="00746C4D">
      <w:pPr>
        <w:numPr>
          <w:ilvl w:val="0"/>
          <w:numId w:val="1"/>
        </w:num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che ai fini della determinazione dell’ammontare massimo di € 200.000,00 (€ 100.000,00 se l’impresa opera nel settore del trasporto di merci su strada per conto terzi) devono essere presi in considerazione tutti gli aiuti pubblici, concessi da autorità nazionali, regionali o locali, a prescindere dalla forma dell’aiuto </w:t>
      </w:r>
      <w:r>
        <w:rPr>
          <w:rFonts w:ascii="Bookman Old Style" w:eastAsia="Bookman Old Style" w:hAnsi="Bookman Old Style" w:cs="Bookman Old Style"/>
          <w:i/>
          <w:color w:val="000000"/>
          <w:sz w:val="22"/>
          <w:szCs w:val="22"/>
        </w:rPr>
        <w:t xml:space="preserve">de </w:t>
      </w:r>
      <w:proofErr w:type="spellStart"/>
      <w:r>
        <w:rPr>
          <w:rFonts w:ascii="Bookman Old Style" w:eastAsia="Bookman Old Style" w:hAnsi="Bookman Old Style" w:cs="Bookman Old Style"/>
          <w:i/>
          <w:color w:val="000000"/>
          <w:sz w:val="22"/>
          <w:szCs w:val="22"/>
        </w:rPr>
        <w:t>minimis</w:t>
      </w:r>
      <w:proofErr w:type="spellEnd"/>
      <w:r>
        <w:rPr>
          <w:rFonts w:ascii="Bookman Old Style" w:eastAsia="Bookman Old Style" w:hAnsi="Bookman Old Style" w:cs="Bookman Old Style"/>
          <w:color w:val="000000"/>
          <w:sz w:val="22"/>
          <w:szCs w:val="22"/>
        </w:rPr>
        <w:t xml:space="preserve"> o dall’obiettivo perseguito e a prescindere dal fatto che l’aiuto concesso sia finanziato interamente o parzialmente con risorse provenienti dall’Unione;  </w:t>
      </w:r>
    </w:p>
    <w:p w:rsidR="007661F5" w:rsidRDefault="000744E5" w:rsidP="00746C4D">
      <w:pPr>
        <w:numPr>
          <w:ilvl w:val="0"/>
          <w:numId w:val="1"/>
        </w:num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che la disciplina </w:t>
      </w:r>
      <w:r>
        <w:rPr>
          <w:rFonts w:ascii="Bookman Old Style" w:eastAsia="Bookman Old Style" w:hAnsi="Bookman Old Style" w:cs="Bookman Old Style"/>
          <w:i/>
          <w:color w:val="000000"/>
          <w:sz w:val="22"/>
          <w:szCs w:val="22"/>
        </w:rPr>
        <w:t xml:space="preserve">de </w:t>
      </w:r>
      <w:proofErr w:type="spellStart"/>
      <w:r>
        <w:rPr>
          <w:rFonts w:ascii="Bookman Old Style" w:eastAsia="Bookman Old Style" w:hAnsi="Bookman Old Style" w:cs="Bookman Old Style"/>
          <w:i/>
          <w:color w:val="000000"/>
          <w:sz w:val="22"/>
          <w:szCs w:val="22"/>
        </w:rPr>
        <w:t>minimis</w:t>
      </w:r>
      <w:proofErr w:type="spellEnd"/>
      <w:r>
        <w:rPr>
          <w:rFonts w:ascii="Bookman Old Style" w:eastAsia="Bookman Old Style" w:hAnsi="Bookman Old Style" w:cs="Bookman Old Style"/>
          <w:color w:val="000000"/>
          <w:sz w:val="22"/>
          <w:szCs w:val="22"/>
        </w:rPr>
        <w:t xml:space="preserve"> di cui al Reg. 1407/2013 </w:t>
      </w:r>
      <w:r>
        <w:rPr>
          <w:rFonts w:ascii="Bookman Old Style" w:eastAsia="Bookman Old Style" w:hAnsi="Bookman Old Style" w:cs="Bookman Old Style"/>
          <w:color w:val="000000"/>
          <w:sz w:val="22"/>
          <w:szCs w:val="22"/>
          <w:u w:val="single"/>
        </w:rPr>
        <w:t>non</w:t>
      </w:r>
      <w:r>
        <w:rPr>
          <w:rFonts w:ascii="Bookman Old Style" w:eastAsia="Bookman Old Style" w:hAnsi="Bookman Old Style" w:cs="Bookman Old Style"/>
          <w:color w:val="000000"/>
          <w:sz w:val="22"/>
          <w:szCs w:val="22"/>
        </w:rPr>
        <w:t xml:space="preserve"> è applicabile: </w:t>
      </w:r>
    </w:p>
    <w:p w:rsidR="007661F5" w:rsidRDefault="000744E5" w:rsidP="00746C4D">
      <w:pPr>
        <w:numPr>
          <w:ilvl w:val="1"/>
          <w:numId w:val="1"/>
        </w:num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agli aiuti concessi a imprese operanti nel settore della pesca e dell’acquacoltura</w:t>
      </w:r>
      <w:r>
        <w:rPr>
          <w:rFonts w:ascii="Bookman Old Style" w:eastAsia="Bookman Old Style" w:hAnsi="Bookman Old Style" w:cs="Bookman Old Style"/>
          <w:color w:val="000000"/>
          <w:sz w:val="22"/>
          <w:szCs w:val="22"/>
          <w:vertAlign w:val="superscript"/>
        </w:rPr>
        <w:footnoteReference w:id="5"/>
      </w:r>
      <w:r>
        <w:rPr>
          <w:rFonts w:ascii="Bookman Old Style" w:eastAsia="Bookman Old Style" w:hAnsi="Bookman Old Style" w:cs="Bookman Old Style"/>
          <w:color w:val="000000"/>
          <w:sz w:val="22"/>
          <w:szCs w:val="22"/>
        </w:rPr>
        <w:t xml:space="preserve"> per i quali esiste una disciplina </w:t>
      </w:r>
      <w:r>
        <w:rPr>
          <w:rFonts w:ascii="Bookman Old Style" w:eastAsia="Bookman Old Style" w:hAnsi="Bookman Old Style" w:cs="Bookman Old Style"/>
          <w:i/>
          <w:color w:val="000000"/>
          <w:sz w:val="22"/>
          <w:szCs w:val="22"/>
        </w:rPr>
        <w:t xml:space="preserve">de </w:t>
      </w:r>
      <w:proofErr w:type="spellStart"/>
      <w:r>
        <w:rPr>
          <w:rFonts w:ascii="Bookman Old Style" w:eastAsia="Bookman Old Style" w:hAnsi="Bookman Old Style" w:cs="Bookman Old Style"/>
          <w:i/>
          <w:color w:val="000000"/>
          <w:sz w:val="22"/>
          <w:szCs w:val="22"/>
        </w:rPr>
        <w:t>minimis</w:t>
      </w:r>
      <w:proofErr w:type="spellEnd"/>
      <w:r>
        <w:rPr>
          <w:rFonts w:ascii="Bookman Old Style" w:eastAsia="Bookman Old Style" w:hAnsi="Bookman Old Style" w:cs="Bookman Old Style"/>
          <w:color w:val="000000"/>
          <w:sz w:val="22"/>
          <w:szCs w:val="22"/>
        </w:rPr>
        <w:t xml:space="preserve"> ad hoc (Reg. 717/2014); </w:t>
      </w:r>
    </w:p>
    <w:p w:rsidR="007661F5" w:rsidRDefault="000744E5" w:rsidP="00746C4D">
      <w:pPr>
        <w:numPr>
          <w:ilvl w:val="1"/>
          <w:numId w:val="1"/>
        </w:num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agli aiuti concessi a imprese operanti nel settore della produzione primaria dei prodotti agricoli</w:t>
      </w:r>
      <w:r>
        <w:rPr>
          <w:rFonts w:ascii="Bookman Old Style" w:eastAsia="Bookman Old Style" w:hAnsi="Bookman Old Style" w:cs="Bookman Old Style"/>
          <w:color w:val="000000"/>
          <w:sz w:val="22"/>
          <w:szCs w:val="22"/>
          <w:vertAlign w:val="superscript"/>
        </w:rPr>
        <w:footnoteReference w:id="6"/>
      </w:r>
      <w:r>
        <w:rPr>
          <w:rFonts w:ascii="Bookman Old Style" w:eastAsia="Bookman Old Style" w:hAnsi="Bookman Old Style" w:cs="Bookman Old Style"/>
          <w:color w:val="000000"/>
          <w:sz w:val="22"/>
          <w:szCs w:val="22"/>
        </w:rPr>
        <w:t xml:space="preserve"> per i quali esiste una disciplina </w:t>
      </w:r>
      <w:r>
        <w:rPr>
          <w:rFonts w:ascii="Bookman Old Style" w:eastAsia="Bookman Old Style" w:hAnsi="Bookman Old Style" w:cs="Bookman Old Style"/>
          <w:i/>
          <w:color w:val="000000"/>
          <w:sz w:val="22"/>
          <w:szCs w:val="22"/>
        </w:rPr>
        <w:t xml:space="preserve">de </w:t>
      </w:r>
      <w:proofErr w:type="spellStart"/>
      <w:r>
        <w:rPr>
          <w:rFonts w:ascii="Bookman Old Style" w:eastAsia="Bookman Old Style" w:hAnsi="Bookman Old Style" w:cs="Bookman Old Style"/>
          <w:i/>
          <w:color w:val="000000"/>
          <w:sz w:val="22"/>
          <w:szCs w:val="22"/>
        </w:rPr>
        <w:t>minimis</w:t>
      </w:r>
      <w:proofErr w:type="spellEnd"/>
      <w:r>
        <w:rPr>
          <w:rFonts w:ascii="Bookman Old Style" w:eastAsia="Bookman Old Style" w:hAnsi="Bookman Old Style" w:cs="Bookman Old Style"/>
          <w:color w:val="000000"/>
          <w:sz w:val="22"/>
          <w:szCs w:val="22"/>
        </w:rPr>
        <w:t xml:space="preserve"> ad hoc (Reg. 1408/2013); </w:t>
      </w:r>
    </w:p>
    <w:p w:rsidR="007661F5" w:rsidRDefault="000744E5" w:rsidP="00746C4D">
      <w:pPr>
        <w:numPr>
          <w:ilvl w:val="1"/>
          <w:numId w:val="1"/>
        </w:num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agli aiuti concessi a imprese operanti nel settore della trasformazione e commercializzazione di prodotti agricoli</w:t>
      </w:r>
      <w:r>
        <w:rPr>
          <w:rFonts w:ascii="Bookman Old Style" w:eastAsia="Bookman Old Style" w:hAnsi="Bookman Old Style" w:cs="Bookman Old Style"/>
          <w:color w:val="000000"/>
          <w:sz w:val="22"/>
          <w:szCs w:val="22"/>
          <w:vertAlign w:val="superscript"/>
        </w:rPr>
        <w:t>7</w:t>
      </w:r>
      <w:r>
        <w:rPr>
          <w:rFonts w:ascii="Bookman Old Style" w:eastAsia="Bookman Old Style" w:hAnsi="Bookman Old Style" w:cs="Bookman Old Style"/>
          <w:color w:val="000000"/>
          <w:sz w:val="22"/>
          <w:szCs w:val="22"/>
        </w:rPr>
        <w:t xml:space="preserve">, quando l’importo dell’aiuto è fissato in base al prezzo o al quantitativo di tali prodotti acquistati da produttori primari o immessi sul mercato dalle imprese interessate, oppure quando l’aiuto è subordinato al fatto di venire parzialmente o interamente trasferito a produttori primari; </w:t>
      </w:r>
    </w:p>
    <w:p w:rsidR="007661F5" w:rsidRDefault="000744E5" w:rsidP="00746C4D">
      <w:pPr>
        <w:numPr>
          <w:ilvl w:val="1"/>
          <w:numId w:val="1"/>
        </w:num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agli aiuti all’esportazione (si intendono tali quelli direttamente legati alle quantità esportate, alla costituzione e al funzionamento di una rete di distribuzione o alle spese correnti connesse all’attività di esportazione; non rientrano </w:t>
      </w:r>
      <w:r>
        <w:rPr>
          <w:rFonts w:ascii="Bookman Old Style" w:eastAsia="Bookman Old Style" w:hAnsi="Bookman Old Style" w:cs="Bookman Old Style"/>
          <w:color w:val="000000"/>
          <w:sz w:val="22"/>
          <w:szCs w:val="22"/>
        </w:rPr>
        <w:lastRenderedPageBreak/>
        <w:t xml:space="preserve">normalmente negli aiuti all’esportazione gli aiuti inerenti ai costi di partecipazione a fiere commerciali o quelli per studi o servizi di consulenza, necessari per il lancio di un nuovo prodotto o di un prodotto già esistente su un nuovo mercato); </w:t>
      </w:r>
    </w:p>
    <w:p w:rsidR="007661F5" w:rsidRDefault="000744E5" w:rsidP="00746C4D">
      <w:pPr>
        <w:numPr>
          <w:ilvl w:val="1"/>
          <w:numId w:val="1"/>
        </w:num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agli aiuti subordinati all’impiego preferenziale di prodotti interni rispetto ai prodotti d’importazione; </w:t>
      </w:r>
    </w:p>
    <w:p w:rsidR="007661F5" w:rsidRDefault="000744E5" w:rsidP="00746C4D">
      <w:pPr>
        <w:numPr>
          <w:ilvl w:val="1"/>
          <w:numId w:val="1"/>
        </w:num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agli aiuti “non trasparenti”</w:t>
      </w:r>
      <w:r>
        <w:rPr>
          <w:rFonts w:ascii="Bookman Old Style" w:eastAsia="Bookman Old Style" w:hAnsi="Bookman Old Style" w:cs="Bookman Old Style"/>
          <w:color w:val="000000"/>
          <w:sz w:val="22"/>
          <w:szCs w:val="22"/>
          <w:vertAlign w:val="superscript"/>
        </w:rPr>
        <w:footnoteReference w:id="7"/>
      </w:r>
      <w:r>
        <w:rPr>
          <w:rFonts w:ascii="Bookman Old Style" w:eastAsia="Bookman Old Style" w:hAnsi="Bookman Old Style" w:cs="Bookman Old Style"/>
          <w:color w:val="000000"/>
          <w:sz w:val="22"/>
          <w:szCs w:val="22"/>
        </w:rPr>
        <w:t xml:space="preserve">; </w:t>
      </w:r>
    </w:p>
    <w:p w:rsidR="007661F5" w:rsidRDefault="000744E5" w:rsidP="00746C4D">
      <w:pPr>
        <w:pBdr>
          <w:top w:val="nil"/>
          <w:left w:val="nil"/>
          <w:bottom w:val="nil"/>
          <w:right w:val="nil"/>
          <w:between w:val="nil"/>
        </w:pBdr>
        <w:spacing w:line="240" w:lineRule="auto"/>
        <w:ind w:left="0" w:hanging="2"/>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 </w:t>
      </w:r>
    </w:p>
    <w:p w:rsidR="007661F5" w:rsidRDefault="000744E5" w:rsidP="00746C4D">
      <w:pPr>
        <w:numPr>
          <w:ilvl w:val="0"/>
          <w:numId w:val="1"/>
        </w:num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che nel caso in cui la concessione di nuovi aiuti </w:t>
      </w:r>
      <w:r>
        <w:rPr>
          <w:rFonts w:ascii="Bookman Old Style" w:eastAsia="Bookman Old Style" w:hAnsi="Bookman Old Style" w:cs="Bookman Old Style"/>
          <w:i/>
          <w:color w:val="000000"/>
          <w:sz w:val="22"/>
          <w:szCs w:val="22"/>
        </w:rPr>
        <w:t xml:space="preserve">de </w:t>
      </w:r>
      <w:proofErr w:type="spellStart"/>
      <w:r>
        <w:rPr>
          <w:rFonts w:ascii="Bookman Old Style" w:eastAsia="Bookman Old Style" w:hAnsi="Bookman Old Style" w:cs="Bookman Old Style"/>
          <w:i/>
          <w:color w:val="000000"/>
          <w:sz w:val="22"/>
          <w:szCs w:val="22"/>
        </w:rPr>
        <w:t>minimis</w:t>
      </w:r>
      <w:proofErr w:type="spellEnd"/>
      <w:r>
        <w:rPr>
          <w:rFonts w:ascii="Bookman Old Style" w:eastAsia="Bookman Old Style" w:hAnsi="Bookman Old Style" w:cs="Bookman Old Style"/>
          <w:color w:val="000000"/>
          <w:sz w:val="22"/>
          <w:szCs w:val="22"/>
        </w:rPr>
        <w:t xml:space="preserve"> comporti il superamento della soglia di € 200.000,00 (€ 100.000,00 se l’impresa opera nel settore del trasporto di merci su strada per conto terzi), nessuna delle nuove misure di aiuto può beneficiare della disciplina del Reg. </w:t>
      </w:r>
      <w:r>
        <w:rPr>
          <w:rFonts w:ascii="Bookman Old Style" w:eastAsia="Bookman Old Style" w:hAnsi="Bookman Old Style" w:cs="Bookman Old Style"/>
          <w:i/>
          <w:color w:val="000000"/>
          <w:sz w:val="22"/>
          <w:szCs w:val="22"/>
        </w:rPr>
        <w:t xml:space="preserve">de </w:t>
      </w:r>
      <w:proofErr w:type="spellStart"/>
      <w:r>
        <w:rPr>
          <w:rFonts w:ascii="Bookman Old Style" w:eastAsia="Bookman Old Style" w:hAnsi="Bookman Old Style" w:cs="Bookman Old Style"/>
          <w:i/>
          <w:color w:val="000000"/>
          <w:sz w:val="22"/>
          <w:szCs w:val="22"/>
        </w:rPr>
        <w:t>minimis</w:t>
      </w:r>
      <w:proofErr w:type="spellEnd"/>
      <w:r>
        <w:rPr>
          <w:rFonts w:ascii="Bookman Old Style" w:eastAsia="Bookman Old Style" w:hAnsi="Bookman Old Style" w:cs="Bookman Old Style"/>
          <w:color w:val="000000"/>
          <w:sz w:val="22"/>
          <w:szCs w:val="22"/>
        </w:rPr>
        <w:t xml:space="preserve"> 1407/2013;  </w:t>
      </w:r>
    </w:p>
    <w:p w:rsidR="007661F5" w:rsidRDefault="007661F5" w:rsidP="00746C4D">
      <w:pPr>
        <w:pBdr>
          <w:top w:val="nil"/>
          <w:left w:val="nil"/>
          <w:bottom w:val="nil"/>
          <w:right w:val="nil"/>
          <w:between w:val="nil"/>
        </w:pBdr>
        <w:spacing w:line="240" w:lineRule="auto"/>
        <w:ind w:left="0" w:right="3" w:hanging="2"/>
        <w:jc w:val="both"/>
        <w:rPr>
          <w:rFonts w:ascii="Bookman Old Style" w:eastAsia="Bookman Old Style" w:hAnsi="Bookman Old Style" w:cs="Bookman Old Style"/>
          <w:color w:val="000000"/>
          <w:sz w:val="22"/>
          <w:szCs w:val="22"/>
        </w:rPr>
      </w:pPr>
    </w:p>
    <w:p w:rsidR="007661F5" w:rsidRDefault="000744E5" w:rsidP="00746C4D">
      <w:pPr>
        <w:pBdr>
          <w:top w:val="nil"/>
          <w:left w:val="nil"/>
          <w:bottom w:val="nil"/>
          <w:right w:val="nil"/>
          <w:between w:val="nil"/>
        </w:pBdr>
        <w:spacing w:line="240" w:lineRule="auto"/>
        <w:ind w:left="0" w:right="3"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b/>
          <w:color w:val="000000"/>
          <w:sz w:val="22"/>
          <w:szCs w:val="22"/>
        </w:rPr>
        <w:t xml:space="preserve">consapevole delle sanzioni penali, nel caso di dichiarazioni non veritiere, di formazione o uso di atti falsi richiamate dall’art. 76 del D.P.R. 445 del 28 dicembre 2000, </w:t>
      </w:r>
    </w:p>
    <w:p w:rsidR="007661F5" w:rsidRDefault="000744E5" w:rsidP="00746C4D">
      <w:pPr>
        <w:pBdr>
          <w:top w:val="nil"/>
          <w:left w:val="nil"/>
          <w:bottom w:val="nil"/>
          <w:right w:val="nil"/>
          <w:between w:val="nil"/>
        </w:pBdr>
        <w:spacing w:line="240" w:lineRule="auto"/>
        <w:ind w:left="0" w:hanging="2"/>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 </w:t>
      </w:r>
    </w:p>
    <w:p w:rsidR="007661F5" w:rsidRDefault="000744E5" w:rsidP="00746C4D">
      <w:pPr>
        <w:keepNext/>
        <w:keepLines/>
        <w:pBdr>
          <w:top w:val="nil"/>
          <w:left w:val="nil"/>
          <w:bottom w:val="nil"/>
          <w:right w:val="nil"/>
          <w:between w:val="nil"/>
        </w:pBdr>
        <w:spacing w:line="240" w:lineRule="auto"/>
        <w:ind w:left="0" w:right="8" w:hanging="2"/>
        <w:jc w:val="center"/>
        <w:rPr>
          <w:rFonts w:ascii="Bookman Old Style" w:eastAsia="Bookman Old Style" w:hAnsi="Bookman Old Style" w:cs="Bookman Old Style"/>
          <w:color w:val="000000"/>
          <w:sz w:val="22"/>
          <w:szCs w:val="22"/>
          <w:u w:val="single"/>
        </w:rPr>
      </w:pPr>
      <w:r>
        <w:rPr>
          <w:rFonts w:ascii="Bookman Old Style" w:eastAsia="Bookman Old Style" w:hAnsi="Bookman Old Style" w:cs="Bookman Old Style"/>
          <w:b/>
          <w:color w:val="000000"/>
          <w:sz w:val="22"/>
          <w:szCs w:val="22"/>
          <w:u w:val="single"/>
        </w:rPr>
        <w:t>DICHIARA</w:t>
      </w:r>
      <w:r>
        <w:rPr>
          <w:rFonts w:ascii="Bookman Old Style" w:eastAsia="Bookman Old Style" w:hAnsi="Bookman Old Style" w:cs="Bookman Old Style"/>
          <w:b/>
          <w:color w:val="000000"/>
          <w:sz w:val="22"/>
          <w:szCs w:val="22"/>
        </w:rPr>
        <w:t xml:space="preserve"> </w:t>
      </w:r>
    </w:p>
    <w:p w:rsidR="007661F5" w:rsidRDefault="000744E5" w:rsidP="00746C4D">
      <w:pPr>
        <w:pBdr>
          <w:top w:val="nil"/>
          <w:left w:val="nil"/>
          <w:bottom w:val="nil"/>
          <w:right w:val="nil"/>
          <w:between w:val="nil"/>
        </w:pBdr>
        <w:spacing w:line="240" w:lineRule="auto"/>
        <w:ind w:left="0" w:hanging="2"/>
        <w:rPr>
          <w:rFonts w:ascii="Bookman Old Style" w:eastAsia="Bookman Old Style" w:hAnsi="Bookman Old Style" w:cs="Bookman Old Style"/>
          <w:color w:val="000000"/>
          <w:sz w:val="22"/>
          <w:szCs w:val="22"/>
        </w:rPr>
      </w:pPr>
      <w:r>
        <w:rPr>
          <w:rFonts w:ascii="Bookman Old Style" w:eastAsia="Bookman Old Style" w:hAnsi="Bookman Old Style" w:cs="Bookman Old Style"/>
          <w:b/>
          <w:color w:val="000000"/>
          <w:sz w:val="22"/>
          <w:szCs w:val="22"/>
        </w:rPr>
        <w:t xml:space="preserve"> </w:t>
      </w:r>
    </w:p>
    <w:p w:rsidR="007661F5" w:rsidRDefault="000744E5" w:rsidP="00746C4D">
      <w:p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che l’organizzazione congiuntamente con altre organizzazioni ad essa eventualmente collegate nell’ambito del concetto di “impresa unica”, non ha beneficiato, nell’esercizio finanziario in questione nonché nei due esercizi finanziari precedenti, di contributi pubblici, percepiti a titolo di aiuti </w:t>
      </w:r>
      <w:r>
        <w:rPr>
          <w:rFonts w:ascii="Bookman Old Style" w:eastAsia="Bookman Old Style" w:hAnsi="Bookman Old Style" w:cs="Bookman Old Style"/>
          <w:i/>
          <w:color w:val="000000"/>
          <w:sz w:val="22"/>
          <w:szCs w:val="22"/>
        </w:rPr>
        <w:t xml:space="preserve">de </w:t>
      </w:r>
      <w:proofErr w:type="spellStart"/>
      <w:r>
        <w:rPr>
          <w:rFonts w:ascii="Bookman Old Style" w:eastAsia="Bookman Old Style" w:hAnsi="Bookman Old Style" w:cs="Bookman Old Style"/>
          <w:i/>
          <w:color w:val="000000"/>
          <w:sz w:val="22"/>
          <w:szCs w:val="22"/>
        </w:rPr>
        <w:t>minimis</w:t>
      </w:r>
      <w:proofErr w:type="spellEnd"/>
      <w:r>
        <w:rPr>
          <w:rFonts w:ascii="Bookman Old Style" w:eastAsia="Bookman Old Style" w:hAnsi="Bookman Old Style" w:cs="Bookman Old Style"/>
          <w:i/>
          <w:color w:val="000000"/>
          <w:sz w:val="22"/>
          <w:szCs w:val="22"/>
        </w:rPr>
        <w:t xml:space="preserve"> </w:t>
      </w:r>
      <w:r>
        <w:rPr>
          <w:rFonts w:ascii="Bookman Old Style" w:eastAsia="Bookman Old Style" w:hAnsi="Bookman Old Style" w:cs="Bookman Old Style"/>
          <w:color w:val="000000"/>
          <w:sz w:val="22"/>
          <w:szCs w:val="22"/>
        </w:rPr>
        <w:t xml:space="preserve">ai sensi del Regolamento (UE) n. 1407/2013 e di altri regolamenti </w:t>
      </w:r>
      <w:r>
        <w:rPr>
          <w:rFonts w:ascii="Bookman Old Style" w:eastAsia="Bookman Old Style" w:hAnsi="Bookman Old Style" w:cs="Bookman Old Style"/>
          <w:i/>
          <w:color w:val="000000"/>
          <w:sz w:val="22"/>
          <w:szCs w:val="22"/>
        </w:rPr>
        <w:t xml:space="preserve">de </w:t>
      </w:r>
      <w:proofErr w:type="spellStart"/>
      <w:r>
        <w:rPr>
          <w:rFonts w:ascii="Bookman Old Style" w:eastAsia="Bookman Old Style" w:hAnsi="Bookman Old Style" w:cs="Bookman Old Style"/>
          <w:i/>
          <w:color w:val="000000"/>
          <w:sz w:val="22"/>
          <w:szCs w:val="22"/>
        </w:rPr>
        <w:t>minimis</w:t>
      </w:r>
      <w:proofErr w:type="spellEnd"/>
      <w:r>
        <w:rPr>
          <w:rFonts w:ascii="Bookman Old Style" w:eastAsia="Bookman Old Style" w:hAnsi="Bookman Old Style" w:cs="Bookman Old Style"/>
          <w:color w:val="000000"/>
          <w:sz w:val="22"/>
          <w:szCs w:val="22"/>
        </w:rPr>
        <w:t xml:space="preserve">, per un importo superiore a € 200.000,00 (€ 100.000,00 se l’impresa opera nel settore del trasporto di merci su strada per conto terzi), in quanto: </w:t>
      </w:r>
    </w:p>
    <w:p w:rsidR="007661F5" w:rsidRDefault="000744E5" w:rsidP="00746C4D">
      <w:pPr>
        <w:pBdr>
          <w:top w:val="nil"/>
          <w:left w:val="nil"/>
          <w:bottom w:val="nil"/>
          <w:right w:val="nil"/>
          <w:between w:val="nil"/>
        </w:pBdr>
        <w:spacing w:line="240" w:lineRule="auto"/>
        <w:ind w:left="0" w:hanging="2"/>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 </w:t>
      </w:r>
    </w:p>
    <w:p w:rsidR="007661F5" w:rsidRDefault="000744E5" w:rsidP="00746C4D">
      <w:p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 ] - l’impresa non ha percepito aiuti pubblici in </w:t>
      </w:r>
      <w:r>
        <w:rPr>
          <w:rFonts w:ascii="Bookman Old Style" w:eastAsia="Bookman Old Style" w:hAnsi="Bookman Old Style" w:cs="Bookman Old Style"/>
          <w:i/>
          <w:color w:val="000000"/>
          <w:sz w:val="22"/>
          <w:szCs w:val="22"/>
        </w:rPr>
        <w:t xml:space="preserve">de </w:t>
      </w:r>
      <w:proofErr w:type="spellStart"/>
      <w:r>
        <w:rPr>
          <w:rFonts w:ascii="Bookman Old Style" w:eastAsia="Bookman Old Style" w:hAnsi="Bookman Old Style" w:cs="Bookman Old Style"/>
          <w:i/>
          <w:color w:val="000000"/>
          <w:sz w:val="22"/>
          <w:szCs w:val="22"/>
        </w:rPr>
        <w:t>minimis</w:t>
      </w:r>
      <w:proofErr w:type="spellEnd"/>
      <w:r>
        <w:rPr>
          <w:rFonts w:ascii="Bookman Old Style" w:eastAsia="Bookman Old Style" w:hAnsi="Bookman Old Style" w:cs="Bookman Old Style"/>
          <w:i/>
          <w:color w:val="000000"/>
          <w:sz w:val="22"/>
          <w:szCs w:val="22"/>
        </w:rPr>
        <w:t xml:space="preserve"> </w:t>
      </w:r>
      <w:r>
        <w:rPr>
          <w:rFonts w:ascii="Bookman Old Style" w:eastAsia="Bookman Old Style" w:hAnsi="Bookman Old Style" w:cs="Bookman Old Style"/>
          <w:color w:val="000000"/>
          <w:sz w:val="22"/>
          <w:szCs w:val="22"/>
        </w:rPr>
        <w:t xml:space="preserve">nel corso del periodo sopra indicato </w:t>
      </w:r>
    </w:p>
    <w:p w:rsidR="007661F5" w:rsidRDefault="007661F5" w:rsidP="00746C4D">
      <w:pPr>
        <w:pBdr>
          <w:top w:val="nil"/>
          <w:left w:val="nil"/>
          <w:bottom w:val="nil"/>
          <w:right w:val="nil"/>
          <w:between w:val="nil"/>
        </w:pBdr>
        <w:spacing w:line="240" w:lineRule="auto"/>
        <w:ind w:left="0" w:right="4545" w:hanging="2"/>
        <w:jc w:val="both"/>
        <w:rPr>
          <w:rFonts w:ascii="Bookman Old Style" w:eastAsia="Bookman Old Style" w:hAnsi="Bookman Old Style" w:cs="Bookman Old Style"/>
          <w:color w:val="000000"/>
          <w:sz w:val="22"/>
          <w:szCs w:val="22"/>
        </w:rPr>
      </w:pPr>
    </w:p>
    <w:p w:rsidR="007661F5" w:rsidRDefault="000744E5" w:rsidP="00746C4D">
      <w:pPr>
        <w:pBdr>
          <w:top w:val="nil"/>
          <w:left w:val="nil"/>
          <w:bottom w:val="nil"/>
          <w:right w:val="nil"/>
          <w:between w:val="nil"/>
        </w:pBdr>
        <w:spacing w:line="240" w:lineRule="auto"/>
        <w:ind w:left="0" w:right="4545"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oppure </w:t>
      </w:r>
    </w:p>
    <w:p w:rsidR="007661F5" w:rsidRDefault="000744E5" w:rsidP="00746C4D">
      <w:pPr>
        <w:pBdr>
          <w:top w:val="nil"/>
          <w:left w:val="nil"/>
          <w:bottom w:val="nil"/>
          <w:right w:val="nil"/>
          <w:between w:val="nil"/>
        </w:pBdr>
        <w:spacing w:line="240" w:lineRule="auto"/>
        <w:ind w:left="0" w:hanging="2"/>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 </w:t>
      </w:r>
    </w:p>
    <w:p w:rsidR="007661F5" w:rsidRDefault="000744E5" w:rsidP="00746C4D">
      <w:p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 ] – nel corso del periodo sopra indicato la suddetta impresa ha beneficiato solo dei seguenti aiuti </w:t>
      </w:r>
      <w:r>
        <w:rPr>
          <w:rFonts w:ascii="Bookman Old Style" w:eastAsia="Bookman Old Style" w:hAnsi="Bookman Old Style" w:cs="Bookman Old Style"/>
          <w:i/>
          <w:color w:val="000000"/>
          <w:sz w:val="22"/>
          <w:szCs w:val="22"/>
        </w:rPr>
        <w:t xml:space="preserve">de </w:t>
      </w:r>
      <w:proofErr w:type="spellStart"/>
      <w:r>
        <w:rPr>
          <w:rFonts w:ascii="Bookman Old Style" w:eastAsia="Bookman Old Style" w:hAnsi="Bookman Old Style" w:cs="Bookman Old Style"/>
          <w:i/>
          <w:color w:val="000000"/>
          <w:sz w:val="22"/>
          <w:szCs w:val="22"/>
        </w:rPr>
        <w:t>minimis</w:t>
      </w:r>
      <w:proofErr w:type="spellEnd"/>
      <w:r>
        <w:rPr>
          <w:rFonts w:ascii="Bookman Old Style" w:eastAsia="Bookman Old Style" w:hAnsi="Bookman Old Style" w:cs="Bookman Old Style"/>
          <w:color w:val="000000"/>
          <w:sz w:val="22"/>
          <w:szCs w:val="22"/>
        </w:rPr>
        <w:t xml:space="preserve">: </w:t>
      </w:r>
    </w:p>
    <w:p w:rsidR="007661F5" w:rsidRDefault="007661F5" w:rsidP="00746C4D">
      <w:pPr>
        <w:pBdr>
          <w:top w:val="nil"/>
          <w:left w:val="nil"/>
          <w:bottom w:val="nil"/>
          <w:right w:val="nil"/>
          <w:between w:val="nil"/>
        </w:pBdr>
        <w:spacing w:line="240" w:lineRule="auto"/>
        <w:ind w:left="0" w:hanging="2"/>
        <w:rPr>
          <w:rFonts w:ascii="Bookman Old Style" w:eastAsia="Bookman Old Style" w:hAnsi="Bookman Old Style" w:cs="Bookman Old Style"/>
          <w:color w:val="000000"/>
          <w:sz w:val="22"/>
          <w:szCs w:val="22"/>
        </w:rPr>
      </w:pPr>
    </w:p>
    <w:p w:rsidR="007661F5" w:rsidRDefault="007661F5" w:rsidP="00746C4D">
      <w:pPr>
        <w:pBdr>
          <w:top w:val="nil"/>
          <w:left w:val="nil"/>
          <w:bottom w:val="nil"/>
          <w:right w:val="nil"/>
          <w:between w:val="nil"/>
        </w:pBdr>
        <w:spacing w:line="240" w:lineRule="auto"/>
        <w:ind w:left="0" w:hanging="2"/>
        <w:rPr>
          <w:rFonts w:ascii="Bookman Old Style" w:eastAsia="Bookman Old Style" w:hAnsi="Bookman Old Style" w:cs="Bookman Old Style"/>
          <w:color w:val="000000"/>
          <w:sz w:val="22"/>
          <w:szCs w:val="22"/>
        </w:rPr>
      </w:pPr>
    </w:p>
    <w:tbl>
      <w:tblPr>
        <w:tblStyle w:val="a"/>
        <w:tblW w:w="92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75"/>
        <w:gridCol w:w="1443"/>
        <w:gridCol w:w="1708"/>
        <w:gridCol w:w="1870"/>
        <w:gridCol w:w="1465"/>
        <w:gridCol w:w="1549"/>
      </w:tblGrid>
      <w:tr w:rsidR="007661F5">
        <w:trPr>
          <w:jc w:val="center"/>
        </w:trPr>
        <w:tc>
          <w:tcPr>
            <w:tcW w:w="1175" w:type="dxa"/>
            <w:vAlign w:val="center"/>
          </w:tcPr>
          <w:p w:rsidR="007661F5" w:rsidRDefault="000744E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r>
              <w:rPr>
                <w:rFonts w:ascii="Bookman Old Style" w:eastAsia="Bookman Old Style" w:hAnsi="Bookman Old Style" w:cs="Bookman Old Style"/>
                <w:b/>
                <w:color w:val="000000"/>
                <w:sz w:val="22"/>
                <w:szCs w:val="22"/>
              </w:rPr>
              <w:t xml:space="preserve">Impresa cui è stato concesso il de </w:t>
            </w:r>
            <w:proofErr w:type="spellStart"/>
            <w:r>
              <w:rPr>
                <w:rFonts w:ascii="Bookman Old Style" w:eastAsia="Bookman Old Style" w:hAnsi="Bookman Old Style" w:cs="Bookman Old Style"/>
                <w:b/>
                <w:color w:val="000000"/>
                <w:sz w:val="22"/>
                <w:szCs w:val="22"/>
              </w:rPr>
              <w:t>minimis</w:t>
            </w:r>
            <w:proofErr w:type="spellEnd"/>
          </w:p>
        </w:tc>
        <w:tc>
          <w:tcPr>
            <w:tcW w:w="1443" w:type="dxa"/>
            <w:vAlign w:val="center"/>
          </w:tcPr>
          <w:p w:rsidR="007661F5" w:rsidRDefault="000744E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r>
              <w:rPr>
                <w:rFonts w:ascii="Bookman Old Style" w:eastAsia="Bookman Old Style" w:hAnsi="Bookman Old Style" w:cs="Bookman Old Style"/>
                <w:b/>
                <w:color w:val="000000"/>
                <w:sz w:val="22"/>
                <w:szCs w:val="22"/>
              </w:rPr>
              <w:t>Esercizio</w:t>
            </w:r>
          </w:p>
          <w:p w:rsidR="007661F5" w:rsidRDefault="000744E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r>
              <w:rPr>
                <w:rFonts w:ascii="Bookman Old Style" w:eastAsia="Bookman Old Style" w:hAnsi="Bookman Old Style" w:cs="Bookman Old Style"/>
                <w:b/>
                <w:color w:val="000000"/>
                <w:sz w:val="22"/>
                <w:szCs w:val="22"/>
              </w:rPr>
              <w:t>Finanziario</w:t>
            </w:r>
          </w:p>
          <w:p w:rsidR="007661F5" w:rsidRDefault="007661F5" w:rsidP="00746C4D">
            <w:p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p>
        </w:tc>
        <w:tc>
          <w:tcPr>
            <w:tcW w:w="1708" w:type="dxa"/>
            <w:vAlign w:val="center"/>
          </w:tcPr>
          <w:p w:rsidR="007661F5" w:rsidRDefault="000744E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r>
              <w:rPr>
                <w:rFonts w:ascii="Bookman Old Style" w:eastAsia="Bookman Old Style" w:hAnsi="Bookman Old Style" w:cs="Bookman Old Style"/>
                <w:b/>
                <w:color w:val="000000"/>
                <w:sz w:val="22"/>
                <w:szCs w:val="22"/>
              </w:rPr>
              <w:t>Organismo</w:t>
            </w:r>
          </w:p>
          <w:p w:rsidR="007661F5" w:rsidRDefault="000744E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r>
              <w:rPr>
                <w:rFonts w:ascii="Bookman Old Style" w:eastAsia="Bookman Old Style" w:hAnsi="Bookman Old Style" w:cs="Bookman Old Style"/>
                <w:b/>
                <w:color w:val="000000"/>
                <w:sz w:val="22"/>
                <w:szCs w:val="22"/>
              </w:rPr>
              <w:t>concedente</w:t>
            </w:r>
          </w:p>
        </w:tc>
        <w:tc>
          <w:tcPr>
            <w:tcW w:w="1870" w:type="dxa"/>
            <w:vAlign w:val="center"/>
          </w:tcPr>
          <w:p w:rsidR="007661F5" w:rsidRDefault="000744E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r>
              <w:rPr>
                <w:rFonts w:ascii="Bookman Old Style" w:eastAsia="Bookman Old Style" w:hAnsi="Bookman Old Style" w:cs="Bookman Old Style"/>
                <w:b/>
                <w:color w:val="000000"/>
                <w:sz w:val="22"/>
                <w:szCs w:val="22"/>
              </w:rPr>
              <w:t>Provvedimento di concessione e data</w:t>
            </w:r>
          </w:p>
        </w:tc>
        <w:tc>
          <w:tcPr>
            <w:tcW w:w="1465" w:type="dxa"/>
            <w:vAlign w:val="center"/>
          </w:tcPr>
          <w:p w:rsidR="007661F5" w:rsidRDefault="000744E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r>
              <w:rPr>
                <w:rFonts w:ascii="Bookman Old Style" w:eastAsia="Bookman Old Style" w:hAnsi="Bookman Old Style" w:cs="Bookman Old Style"/>
                <w:b/>
                <w:color w:val="000000"/>
                <w:sz w:val="22"/>
                <w:szCs w:val="22"/>
              </w:rPr>
              <w:t xml:space="preserve">Reg. UE de </w:t>
            </w:r>
            <w:proofErr w:type="spellStart"/>
            <w:r>
              <w:rPr>
                <w:rFonts w:ascii="Bookman Old Style" w:eastAsia="Bookman Old Style" w:hAnsi="Bookman Old Style" w:cs="Bookman Old Style"/>
                <w:b/>
                <w:color w:val="000000"/>
                <w:sz w:val="22"/>
                <w:szCs w:val="22"/>
              </w:rPr>
              <w:t>minimis</w:t>
            </w:r>
            <w:proofErr w:type="spellEnd"/>
            <w:r>
              <w:rPr>
                <w:rFonts w:ascii="Bookman Old Style" w:eastAsia="Bookman Old Style" w:hAnsi="Bookman Old Style" w:cs="Bookman Old Style"/>
                <w:b/>
                <w:color w:val="000000"/>
                <w:sz w:val="22"/>
                <w:szCs w:val="22"/>
                <w:vertAlign w:val="superscript"/>
              </w:rPr>
              <w:footnoteReference w:id="8"/>
            </w:r>
          </w:p>
        </w:tc>
        <w:tc>
          <w:tcPr>
            <w:tcW w:w="1549" w:type="dxa"/>
            <w:vAlign w:val="center"/>
          </w:tcPr>
          <w:p w:rsidR="007661F5" w:rsidRDefault="000744E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r>
              <w:rPr>
                <w:rFonts w:ascii="Bookman Old Style" w:eastAsia="Bookman Old Style" w:hAnsi="Bookman Old Style" w:cs="Bookman Old Style"/>
                <w:b/>
                <w:color w:val="000000"/>
                <w:sz w:val="22"/>
                <w:szCs w:val="22"/>
              </w:rPr>
              <w:t>Importo della sovvenzione e/o equivalente lordo della sovvenzione (ESL)</w:t>
            </w:r>
          </w:p>
        </w:tc>
      </w:tr>
      <w:tr w:rsidR="007661F5">
        <w:trPr>
          <w:jc w:val="center"/>
        </w:trPr>
        <w:tc>
          <w:tcPr>
            <w:tcW w:w="1175" w:type="dxa"/>
          </w:tcPr>
          <w:p w:rsidR="007661F5" w:rsidRDefault="007661F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p>
        </w:tc>
        <w:tc>
          <w:tcPr>
            <w:tcW w:w="1443" w:type="dxa"/>
          </w:tcPr>
          <w:p w:rsidR="007661F5" w:rsidRDefault="007661F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p>
        </w:tc>
        <w:tc>
          <w:tcPr>
            <w:tcW w:w="1708" w:type="dxa"/>
          </w:tcPr>
          <w:p w:rsidR="007661F5" w:rsidRDefault="007661F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p>
        </w:tc>
        <w:tc>
          <w:tcPr>
            <w:tcW w:w="1870" w:type="dxa"/>
          </w:tcPr>
          <w:p w:rsidR="007661F5" w:rsidRDefault="007661F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p>
        </w:tc>
        <w:tc>
          <w:tcPr>
            <w:tcW w:w="1465" w:type="dxa"/>
          </w:tcPr>
          <w:p w:rsidR="007661F5" w:rsidRDefault="007661F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p>
        </w:tc>
        <w:tc>
          <w:tcPr>
            <w:tcW w:w="1549" w:type="dxa"/>
          </w:tcPr>
          <w:p w:rsidR="007661F5" w:rsidRDefault="007661F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p>
        </w:tc>
      </w:tr>
      <w:tr w:rsidR="007661F5">
        <w:trPr>
          <w:jc w:val="center"/>
        </w:trPr>
        <w:tc>
          <w:tcPr>
            <w:tcW w:w="1175" w:type="dxa"/>
          </w:tcPr>
          <w:p w:rsidR="007661F5" w:rsidRDefault="007661F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p>
        </w:tc>
        <w:tc>
          <w:tcPr>
            <w:tcW w:w="1443" w:type="dxa"/>
          </w:tcPr>
          <w:p w:rsidR="007661F5" w:rsidRDefault="007661F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p>
        </w:tc>
        <w:tc>
          <w:tcPr>
            <w:tcW w:w="1708" w:type="dxa"/>
          </w:tcPr>
          <w:p w:rsidR="007661F5" w:rsidRDefault="007661F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p>
        </w:tc>
        <w:tc>
          <w:tcPr>
            <w:tcW w:w="1870" w:type="dxa"/>
          </w:tcPr>
          <w:p w:rsidR="007661F5" w:rsidRDefault="007661F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p>
        </w:tc>
        <w:tc>
          <w:tcPr>
            <w:tcW w:w="1465" w:type="dxa"/>
          </w:tcPr>
          <w:p w:rsidR="007661F5" w:rsidRDefault="007661F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p>
        </w:tc>
        <w:tc>
          <w:tcPr>
            <w:tcW w:w="1549" w:type="dxa"/>
          </w:tcPr>
          <w:p w:rsidR="007661F5" w:rsidRDefault="007661F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p>
        </w:tc>
      </w:tr>
      <w:tr w:rsidR="007661F5">
        <w:trPr>
          <w:jc w:val="center"/>
        </w:trPr>
        <w:tc>
          <w:tcPr>
            <w:tcW w:w="1175" w:type="dxa"/>
          </w:tcPr>
          <w:p w:rsidR="007661F5" w:rsidRDefault="007661F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p>
        </w:tc>
        <w:tc>
          <w:tcPr>
            <w:tcW w:w="1443" w:type="dxa"/>
          </w:tcPr>
          <w:p w:rsidR="007661F5" w:rsidRDefault="007661F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p>
        </w:tc>
        <w:tc>
          <w:tcPr>
            <w:tcW w:w="1708" w:type="dxa"/>
          </w:tcPr>
          <w:p w:rsidR="007661F5" w:rsidRDefault="007661F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p>
        </w:tc>
        <w:tc>
          <w:tcPr>
            <w:tcW w:w="1870" w:type="dxa"/>
          </w:tcPr>
          <w:p w:rsidR="007661F5" w:rsidRDefault="007661F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p>
        </w:tc>
        <w:tc>
          <w:tcPr>
            <w:tcW w:w="1465" w:type="dxa"/>
          </w:tcPr>
          <w:p w:rsidR="007661F5" w:rsidRDefault="007661F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p>
        </w:tc>
        <w:tc>
          <w:tcPr>
            <w:tcW w:w="1549" w:type="dxa"/>
          </w:tcPr>
          <w:p w:rsidR="007661F5" w:rsidRDefault="007661F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p>
        </w:tc>
      </w:tr>
      <w:tr w:rsidR="007661F5">
        <w:trPr>
          <w:jc w:val="center"/>
        </w:trPr>
        <w:tc>
          <w:tcPr>
            <w:tcW w:w="1175" w:type="dxa"/>
          </w:tcPr>
          <w:p w:rsidR="007661F5" w:rsidRDefault="007661F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p>
        </w:tc>
        <w:tc>
          <w:tcPr>
            <w:tcW w:w="1443" w:type="dxa"/>
          </w:tcPr>
          <w:p w:rsidR="007661F5" w:rsidRDefault="007661F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p>
        </w:tc>
        <w:tc>
          <w:tcPr>
            <w:tcW w:w="1708" w:type="dxa"/>
          </w:tcPr>
          <w:p w:rsidR="007661F5" w:rsidRDefault="007661F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p>
        </w:tc>
        <w:tc>
          <w:tcPr>
            <w:tcW w:w="1870" w:type="dxa"/>
          </w:tcPr>
          <w:p w:rsidR="007661F5" w:rsidRDefault="007661F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p>
        </w:tc>
        <w:tc>
          <w:tcPr>
            <w:tcW w:w="1465" w:type="dxa"/>
          </w:tcPr>
          <w:p w:rsidR="007661F5" w:rsidRDefault="007661F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p>
        </w:tc>
        <w:tc>
          <w:tcPr>
            <w:tcW w:w="1549" w:type="dxa"/>
          </w:tcPr>
          <w:p w:rsidR="007661F5" w:rsidRDefault="007661F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p>
        </w:tc>
      </w:tr>
      <w:tr w:rsidR="007661F5">
        <w:trPr>
          <w:jc w:val="center"/>
        </w:trPr>
        <w:tc>
          <w:tcPr>
            <w:tcW w:w="1175" w:type="dxa"/>
          </w:tcPr>
          <w:p w:rsidR="007661F5" w:rsidRDefault="007661F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p>
        </w:tc>
        <w:tc>
          <w:tcPr>
            <w:tcW w:w="1443" w:type="dxa"/>
          </w:tcPr>
          <w:p w:rsidR="007661F5" w:rsidRDefault="007661F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p>
        </w:tc>
        <w:tc>
          <w:tcPr>
            <w:tcW w:w="1708" w:type="dxa"/>
          </w:tcPr>
          <w:p w:rsidR="007661F5" w:rsidRDefault="007661F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p>
        </w:tc>
        <w:tc>
          <w:tcPr>
            <w:tcW w:w="1870" w:type="dxa"/>
          </w:tcPr>
          <w:p w:rsidR="007661F5" w:rsidRDefault="007661F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p>
        </w:tc>
        <w:tc>
          <w:tcPr>
            <w:tcW w:w="1465" w:type="dxa"/>
          </w:tcPr>
          <w:p w:rsidR="007661F5" w:rsidRDefault="007661F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p>
        </w:tc>
        <w:tc>
          <w:tcPr>
            <w:tcW w:w="1549" w:type="dxa"/>
          </w:tcPr>
          <w:p w:rsidR="007661F5" w:rsidRDefault="007661F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p>
        </w:tc>
      </w:tr>
      <w:tr w:rsidR="007661F5">
        <w:trPr>
          <w:jc w:val="center"/>
        </w:trPr>
        <w:tc>
          <w:tcPr>
            <w:tcW w:w="1175" w:type="dxa"/>
          </w:tcPr>
          <w:p w:rsidR="007661F5" w:rsidRDefault="007661F5" w:rsidP="00746C4D">
            <w:pPr>
              <w:pBdr>
                <w:top w:val="nil"/>
                <w:left w:val="nil"/>
                <w:bottom w:val="nil"/>
                <w:right w:val="nil"/>
                <w:between w:val="nil"/>
              </w:pBdr>
              <w:spacing w:line="240" w:lineRule="auto"/>
              <w:ind w:left="0" w:hanging="2"/>
              <w:rPr>
                <w:rFonts w:ascii="Bookman Old Style" w:eastAsia="Bookman Old Style" w:hAnsi="Bookman Old Style" w:cs="Bookman Old Style"/>
                <w:color w:val="000000"/>
                <w:sz w:val="22"/>
                <w:szCs w:val="22"/>
              </w:rPr>
            </w:pPr>
          </w:p>
        </w:tc>
        <w:tc>
          <w:tcPr>
            <w:tcW w:w="1443" w:type="dxa"/>
          </w:tcPr>
          <w:p w:rsidR="007661F5" w:rsidRDefault="007661F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p>
        </w:tc>
        <w:tc>
          <w:tcPr>
            <w:tcW w:w="1708" w:type="dxa"/>
          </w:tcPr>
          <w:p w:rsidR="007661F5" w:rsidRDefault="007661F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p>
        </w:tc>
        <w:tc>
          <w:tcPr>
            <w:tcW w:w="1870" w:type="dxa"/>
          </w:tcPr>
          <w:p w:rsidR="007661F5" w:rsidRDefault="007661F5" w:rsidP="00746C4D">
            <w:pPr>
              <w:pBdr>
                <w:top w:val="nil"/>
                <w:left w:val="nil"/>
                <w:bottom w:val="nil"/>
                <w:right w:val="nil"/>
                <w:between w:val="nil"/>
              </w:pBdr>
              <w:spacing w:line="240" w:lineRule="auto"/>
              <w:ind w:left="0" w:hanging="2"/>
              <w:jc w:val="center"/>
              <w:rPr>
                <w:rFonts w:ascii="Bookman Old Style" w:eastAsia="Bookman Old Style" w:hAnsi="Bookman Old Style" w:cs="Bookman Old Style"/>
                <w:color w:val="000000"/>
                <w:sz w:val="22"/>
                <w:szCs w:val="22"/>
              </w:rPr>
            </w:pPr>
          </w:p>
        </w:tc>
        <w:tc>
          <w:tcPr>
            <w:tcW w:w="1465" w:type="dxa"/>
          </w:tcPr>
          <w:p w:rsidR="007661F5" w:rsidRDefault="007661F5" w:rsidP="00746C4D">
            <w:pPr>
              <w:pBdr>
                <w:top w:val="nil"/>
                <w:left w:val="nil"/>
                <w:bottom w:val="nil"/>
                <w:right w:val="nil"/>
                <w:between w:val="nil"/>
              </w:pBdr>
              <w:spacing w:line="240" w:lineRule="auto"/>
              <w:ind w:left="0" w:hanging="2"/>
              <w:rPr>
                <w:rFonts w:ascii="Bookman Old Style" w:eastAsia="Bookman Old Style" w:hAnsi="Bookman Old Style" w:cs="Bookman Old Style"/>
                <w:color w:val="000000"/>
                <w:sz w:val="22"/>
                <w:szCs w:val="22"/>
              </w:rPr>
            </w:pPr>
          </w:p>
        </w:tc>
        <w:tc>
          <w:tcPr>
            <w:tcW w:w="1549" w:type="dxa"/>
          </w:tcPr>
          <w:p w:rsidR="007661F5" w:rsidRDefault="000744E5" w:rsidP="00746C4D">
            <w:pPr>
              <w:pBdr>
                <w:top w:val="nil"/>
                <w:left w:val="nil"/>
                <w:bottom w:val="nil"/>
                <w:right w:val="nil"/>
                <w:between w:val="nil"/>
              </w:pBdr>
              <w:spacing w:line="240" w:lineRule="auto"/>
              <w:ind w:left="0" w:hanging="2"/>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Totale</w:t>
            </w:r>
          </w:p>
        </w:tc>
      </w:tr>
    </w:tbl>
    <w:p w:rsidR="007661F5" w:rsidRDefault="007661F5" w:rsidP="00746C4D">
      <w:pPr>
        <w:pBdr>
          <w:top w:val="nil"/>
          <w:left w:val="nil"/>
          <w:bottom w:val="nil"/>
          <w:right w:val="nil"/>
          <w:between w:val="nil"/>
        </w:pBdr>
        <w:spacing w:line="240" w:lineRule="auto"/>
        <w:ind w:left="0" w:hanging="2"/>
        <w:rPr>
          <w:rFonts w:ascii="Bookman Old Style" w:eastAsia="Bookman Old Style" w:hAnsi="Bookman Old Style" w:cs="Bookman Old Style"/>
          <w:color w:val="000000"/>
          <w:sz w:val="22"/>
          <w:szCs w:val="22"/>
        </w:rPr>
      </w:pPr>
    </w:p>
    <w:p w:rsidR="007661F5" w:rsidRDefault="000744E5" w:rsidP="00746C4D">
      <w:pPr>
        <w:pBdr>
          <w:top w:val="nil"/>
          <w:left w:val="nil"/>
          <w:bottom w:val="nil"/>
          <w:right w:val="nil"/>
          <w:between w:val="nil"/>
        </w:pBdr>
        <w:spacing w:line="240" w:lineRule="auto"/>
        <w:ind w:left="0" w:hanging="2"/>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Il sottoscritto dichiara altresì:</w:t>
      </w:r>
    </w:p>
    <w:p w:rsidR="007661F5" w:rsidRDefault="000744E5" w:rsidP="00746C4D">
      <w:pPr>
        <w:numPr>
          <w:ilvl w:val="0"/>
          <w:numId w:val="2"/>
        </w:num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di impegnarsi a comunicare tempestivamente alla Città di Torino ulteriori contributi/agevolazioni che saranno eventualmente concessi all'impresa prima dell’eventuale comunicazione di ammissione alle agevolazioni; </w:t>
      </w:r>
    </w:p>
    <w:p w:rsidR="007661F5" w:rsidRDefault="000744E5" w:rsidP="00746C4D">
      <w:pPr>
        <w:numPr>
          <w:ilvl w:val="0"/>
          <w:numId w:val="2"/>
        </w:num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che l’esercizio finanziario, da intendersi quale periodo d’imposta, coincide con il seguente periodo (specificare date di inizio e fine);</w:t>
      </w:r>
    </w:p>
    <w:p w:rsidR="007661F5" w:rsidRDefault="000744E5" w:rsidP="00746C4D">
      <w:pPr>
        <w:numPr>
          <w:ilvl w:val="0"/>
          <w:numId w:val="2"/>
        </w:num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che l’impresa svolge l’attività contraddistinta dal seguente codice ATECO </w:t>
      </w:r>
      <w:r>
        <w:rPr>
          <w:rFonts w:ascii="Bookman Old Style" w:eastAsia="Bookman Old Style" w:hAnsi="Bookman Old Style" w:cs="Bookman Old Style"/>
          <w:color w:val="000000"/>
          <w:sz w:val="22"/>
          <w:szCs w:val="22"/>
          <w:vertAlign w:val="superscript"/>
        </w:rPr>
        <w:footnoteReference w:id="9"/>
      </w:r>
      <w:r>
        <w:rPr>
          <w:rFonts w:ascii="Bookman Old Style" w:eastAsia="Bookman Old Style" w:hAnsi="Bookman Old Style" w:cs="Bookman Old Style"/>
          <w:color w:val="000000"/>
          <w:sz w:val="22"/>
          <w:szCs w:val="22"/>
          <w:vertAlign w:val="superscript"/>
        </w:rPr>
        <w:t xml:space="preserve"> </w:t>
      </w:r>
      <w:r>
        <w:rPr>
          <w:rFonts w:ascii="Bookman Old Style" w:eastAsia="Bookman Old Style" w:hAnsi="Bookman Old Style" w:cs="Bookman Old Style"/>
          <w:color w:val="000000"/>
          <w:sz w:val="22"/>
          <w:szCs w:val="22"/>
        </w:rPr>
        <w:t xml:space="preserve"> _________________;</w:t>
      </w:r>
    </w:p>
    <w:p w:rsidR="007661F5" w:rsidRDefault="000744E5" w:rsidP="00746C4D">
      <w:pPr>
        <w:numPr>
          <w:ilvl w:val="0"/>
          <w:numId w:val="2"/>
        </w:num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di non aver richiesto e/o ricevuto, per i medesimi costi ammissibili, ulteriori sovvenzioni pubbliche, o di origine pubblica a qualsiasi titolo accordate (principio del divieto di cumulo).</w:t>
      </w:r>
    </w:p>
    <w:p w:rsidR="007661F5" w:rsidRDefault="007661F5" w:rsidP="00746C4D">
      <w:pPr>
        <w:pBdr>
          <w:top w:val="nil"/>
          <w:left w:val="nil"/>
          <w:bottom w:val="nil"/>
          <w:right w:val="nil"/>
          <w:between w:val="nil"/>
        </w:pBdr>
        <w:spacing w:line="240" w:lineRule="auto"/>
        <w:ind w:left="0" w:hanging="2"/>
        <w:rPr>
          <w:rFonts w:ascii="Bookman Old Style" w:eastAsia="Bookman Old Style" w:hAnsi="Bookman Old Style" w:cs="Bookman Old Style"/>
          <w:color w:val="000000"/>
          <w:sz w:val="22"/>
          <w:szCs w:val="22"/>
        </w:rPr>
      </w:pPr>
    </w:p>
    <w:p w:rsidR="007661F5" w:rsidRDefault="000744E5" w:rsidP="00746C4D">
      <w:pPr>
        <w:pBdr>
          <w:top w:val="nil"/>
          <w:left w:val="nil"/>
          <w:bottom w:val="nil"/>
          <w:right w:val="nil"/>
          <w:between w:val="nil"/>
        </w:pBdr>
        <w:spacing w:line="240" w:lineRule="auto"/>
        <w:ind w:left="0" w:hanging="2"/>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 </w:t>
      </w:r>
    </w:p>
    <w:p w:rsidR="007661F5" w:rsidRDefault="000744E5" w:rsidP="00746C4D">
      <w:p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La suddetta organizzazione può pertanto beneficiare, quale aiuto </w:t>
      </w:r>
      <w:r>
        <w:rPr>
          <w:rFonts w:ascii="Bookman Old Style" w:eastAsia="Bookman Old Style" w:hAnsi="Bookman Old Style" w:cs="Bookman Old Style"/>
          <w:i/>
          <w:color w:val="000000"/>
          <w:sz w:val="22"/>
          <w:szCs w:val="22"/>
        </w:rPr>
        <w:t xml:space="preserve">de </w:t>
      </w:r>
      <w:proofErr w:type="spellStart"/>
      <w:r>
        <w:rPr>
          <w:rFonts w:ascii="Bookman Old Style" w:eastAsia="Bookman Old Style" w:hAnsi="Bookman Old Style" w:cs="Bookman Old Style"/>
          <w:i/>
          <w:color w:val="000000"/>
          <w:sz w:val="22"/>
          <w:szCs w:val="22"/>
        </w:rPr>
        <w:t>minimis</w:t>
      </w:r>
      <w:proofErr w:type="spellEnd"/>
      <w:r>
        <w:rPr>
          <w:rFonts w:ascii="Bookman Old Style" w:eastAsia="Bookman Old Style" w:hAnsi="Bookman Old Style" w:cs="Bookman Old Style"/>
          <w:color w:val="000000"/>
          <w:sz w:val="22"/>
          <w:szCs w:val="22"/>
        </w:rPr>
        <w:t xml:space="preserve">, del contributo pubblico di euro ___________________ per l’iniziativa sopra evidenziata, senza la necessità che intervenga la preventiva autorizzazione al medesimo contributo da parte della Commissione Europea, il tutto in ossequio a quanto previsto dal menzionato Regolamento (UE) n. 1407/2013.  </w:t>
      </w:r>
    </w:p>
    <w:p w:rsidR="007661F5" w:rsidRDefault="000744E5" w:rsidP="00746C4D">
      <w:pPr>
        <w:pBdr>
          <w:top w:val="nil"/>
          <w:left w:val="nil"/>
          <w:bottom w:val="nil"/>
          <w:right w:val="nil"/>
          <w:between w:val="nil"/>
        </w:pBdr>
        <w:spacing w:line="240" w:lineRule="auto"/>
        <w:ind w:left="0" w:hanging="2"/>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  </w:t>
      </w:r>
    </w:p>
    <w:p w:rsidR="007661F5" w:rsidRDefault="000744E5" w:rsidP="00746C4D">
      <w:pPr>
        <w:pBdr>
          <w:top w:val="nil"/>
          <w:left w:val="nil"/>
          <w:bottom w:val="nil"/>
          <w:right w:val="nil"/>
          <w:between w:val="nil"/>
        </w:pBdr>
        <w:spacing w:line="240" w:lineRule="auto"/>
        <w:ind w:left="0" w:hanging="2"/>
        <w:rPr>
          <w:rFonts w:ascii="Bookman Old Style" w:eastAsia="Bookman Old Style" w:hAnsi="Bookman Old Style" w:cs="Bookman Old Style"/>
          <w:color w:val="000000"/>
          <w:sz w:val="22"/>
          <w:szCs w:val="22"/>
        </w:rPr>
      </w:pPr>
      <w:r>
        <w:rPr>
          <w:rFonts w:ascii="Bookman Old Style" w:eastAsia="Bookman Old Style" w:hAnsi="Bookman Old Style" w:cs="Bookman Old Style"/>
          <w:i/>
          <w:color w:val="000000"/>
          <w:sz w:val="22"/>
          <w:szCs w:val="22"/>
        </w:rPr>
        <w:t xml:space="preserve"> </w:t>
      </w:r>
    </w:p>
    <w:p w:rsidR="007661F5" w:rsidRDefault="007661F5" w:rsidP="00746C4D">
      <w:p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p>
    <w:p w:rsidR="007661F5" w:rsidRDefault="000744E5" w:rsidP="00746C4D">
      <w:p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Dichiara inoltre di essere informato, ai sensi del D. </w:t>
      </w:r>
      <w:proofErr w:type="spellStart"/>
      <w:r>
        <w:rPr>
          <w:rFonts w:ascii="Bookman Old Style" w:eastAsia="Bookman Old Style" w:hAnsi="Bookman Old Style" w:cs="Bookman Old Style"/>
          <w:color w:val="000000"/>
          <w:sz w:val="22"/>
          <w:szCs w:val="22"/>
        </w:rPr>
        <w:t>Lgs</w:t>
      </w:r>
      <w:proofErr w:type="spellEnd"/>
      <w:r>
        <w:rPr>
          <w:rFonts w:ascii="Bookman Old Style" w:eastAsia="Bookman Old Style" w:hAnsi="Bookman Old Style" w:cs="Bookman Old Style"/>
          <w:color w:val="000000"/>
          <w:sz w:val="22"/>
          <w:szCs w:val="22"/>
        </w:rPr>
        <w:t>. 30 giugno 2003 n. 196 “</w:t>
      </w:r>
      <w:r>
        <w:rPr>
          <w:rFonts w:ascii="Bookman Old Style" w:eastAsia="Bookman Old Style" w:hAnsi="Bookman Old Style" w:cs="Bookman Old Style"/>
          <w:i/>
          <w:color w:val="000000"/>
          <w:sz w:val="22"/>
          <w:szCs w:val="22"/>
        </w:rPr>
        <w:t>Codice in materia di protezione dei dati personali</w:t>
      </w:r>
      <w:r>
        <w:rPr>
          <w:rFonts w:ascii="Bookman Old Style" w:eastAsia="Bookman Old Style" w:hAnsi="Bookman Old Style" w:cs="Bookman Old Style"/>
          <w:color w:val="000000"/>
          <w:sz w:val="22"/>
          <w:szCs w:val="22"/>
        </w:rPr>
        <w:t xml:space="preserve">”, che:  </w:t>
      </w:r>
    </w:p>
    <w:p w:rsidR="007661F5" w:rsidRDefault="000744E5" w:rsidP="00746C4D">
      <w:p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 i dati personali raccolti saranno trattati, anche con strumenti informatici, nell’ambito e per le finalità del procedimento per il quale la presente dichiarazione viene resa ed in conformità ad obblighi previsti dalla legge, da un regolamento o dalla normativa comunitaria; il relativo trattamento non richiede il consenso dell’interessato ai sensi dell’art. 18 del D. </w:t>
      </w:r>
      <w:proofErr w:type="spellStart"/>
      <w:r>
        <w:rPr>
          <w:rFonts w:ascii="Bookman Old Style" w:eastAsia="Bookman Old Style" w:hAnsi="Bookman Old Style" w:cs="Bookman Old Style"/>
          <w:color w:val="000000"/>
          <w:sz w:val="22"/>
          <w:szCs w:val="22"/>
        </w:rPr>
        <w:t>Lgs</w:t>
      </w:r>
      <w:proofErr w:type="spellEnd"/>
      <w:r>
        <w:rPr>
          <w:rFonts w:ascii="Bookman Old Style" w:eastAsia="Bookman Old Style" w:hAnsi="Bookman Old Style" w:cs="Bookman Old Style"/>
          <w:color w:val="000000"/>
          <w:sz w:val="22"/>
          <w:szCs w:val="22"/>
        </w:rPr>
        <w:t xml:space="preserve">. 196/2003; </w:t>
      </w:r>
    </w:p>
    <w:p w:rsidR="007661F5" w:rsidRDefault="000744E5" w:rsidP="00746C4D">
      <w:p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 il conferimento dei dati richiesti è obbligatorio e il rifiuto di fornirli comporterà l’impossibilità di proseguire con la liquidazione del contributo; </w:t>
      </w:r>
    </w:p>
    <w:p w:rsidR="007661F5" w:rsidRDefault="000744E5" w:rsidP="00746C4D">
      <w:p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 i dati raccolti potranno essere oggetto di comunicazione ad autorità pubbliche nazionali e dell’Unione Europea in conformità ad obblighi di legge; </w:t>
      </w:r>
    </w:p>
    <w:p w:rsidR="007661F5" w:rsidRDefault="000744E5" w:rsidP="00746C4D">
      <w:p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 potranno essere esercitati i diritti specificatamente previsti all’art. 7 del </w:t>
      </w:r>
      <w:proofErr w:type="spellStart"/>
      <w:r>
        <w:rPr>
          <w:rFonts w:ascii="Bookman Old Style" w:eastAsia="Bookman Old Style" w:hAnsi="Bookman Old Style" w:cs="Bookman Old Style"/>
          <w:color w:val="000000"/>
          <w:sz w:val="22"/>
          <w:szCs w:val="22"/>
        </w:rPr>
        <w:t>D.Lgs.</w:t>
      </w:r>
      <w:proofErr w:type="spellEnd"/>
      <w:r>
        <w:rPr>
          <w:rFonts w:ascii="Bookman Old Style" w:eastAsia="Bookman Old Style" w:hAnsi="Bookman Old Style" w:cs="Bookman Old Style"/>
          <w:color w:val="000000"/>
          <w:sz w:val="22"/>
          <w:szCs w:val="22"/>
        </w:rPr>
        <w:t xml:space="preserve"> 196/2003;</w:t>
      </w:r>
    </w:p>
    <w:p w:rsidR="007661F5" w:rsidRDefault="000744E5" w:rsidP="00746C4D">
      <w:p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titolare del trattamento dei dati è l’Area Fondi Europei, Innovazione della Città di Torino.</w:t>
      </w:r>
    </w:p>
    <w:p w:rsidR="007661F5" w:rsidRDefault="000744E5" w:rsidP="00746C4D">
      <w:pPr>
        <w:pBdr>
          <w:top w:val="nil"/>
          <w:left w:val="nil"/>
          <w:bottom w:val="nil"/>
          <w:right w:val="nil"/>
          <w:between w:val="nil"/>
        </w:pBdr>
        <w:spacing w:line="240" w:lineRule="auto"/>
        <w:ind w:left="0" w:hanging="2"/>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  </w:t>
      </w:r>
    </w:p>
    <w:p w:rsidR="007661F5" w:rsidRDefault="000744E5" w:rsidP="00746C4D">
      <w:pPr>
        <w:pBdr>
          <w:top w:val="nil"/>
          <w:left w:val="nil"/>
          <w:bottom w:val="nil"/>
          <w:right w:val="nil"/>
          <w:between w:val="nil"/>
        </w:pBdr>
        <w:spacing w:line="240" w:lineRule="auto"/>
        <w:ind w:left="0" w:hanging="2"/>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 </w:t>
      </w:r>
    </w:p>
    <w:p w:rsidR="007661F5" w:rsidRDefault="007661F5" w:rsidP="00746C4D">
      <w:pPr>
        <w:pBdr>
          <w:top w:val="nil"/>
          <w:left w:val="nil"/>
          <w:bottom w:val="nil"/>
          <w:right w:val="nil"/>
          <w:between w:val="nil"/>
        </w:pBdr>
        <w:spacing w:line="240" w:lineRule="auto"/>
        <w:ind w:left="0" w:hanging="2"/>
        <w:rPr>
          <w:rFonts w:ascii="Bookman Old Style" w:eastAsia="Bookman Old Style" w:hAnsi="Bookman Old Style" w:cs="Bookman Old Style"/>
          <w:color w:val="000000"/>
          <w:sz w:val="22"/>
          <w:szCs w:val="22"/>
        </w:rPr>
      </w:pPr>
    </w:p>
    <w:p w:rsidR="007661F5" w:rsidRDefault="007661F5" w:rsidP="00746C4D">
      <w:pPr>
        <w:pBdr>
          <w:top w:val="nil"/>
          <w:left w:val="nil"/>
          <w:bottom w:val="nil"/>
          <w:right w:val="nil"/>
          <w:between w:val="nil"/>
        </w:pBdr>
        <w:spacing w:line="240" w:lineRule="auto"/>
        <w:ind w:left="0" w:hanging="2"/>
        <w:rPr>
          <w:rFonts w:ascii="Bookman Old Style" w:eastAsia="Bookman Old Style" w:hAnsi="Bookman Old Style" w:cs="Bookman Old Style"/>
          <w:color w:val="000000"/>
          <w:sz w:val="22"/>
          <w:szCs w:val="22"/>
        </w:rPr>
      </w:pPr>
    </w:p>
    <w:p w:rsidR="007661F5" w:rsidRDefault="000744E5" w:rsidP="00746C4D">
      <w:pPr>
        <w:pBdr>
          <w:top w:val="nil"/>
          <w:left w:val="nil"/>
          <w:bottom w:val="nil"/>
          <w:right w:val="nil"/>
          <w:between w:val="nil"/>
        </w:pBdr>
        <w:spacing w:line="240" w:lineRule="auto"/>
        <w:ind w:left="0" w:hanging="2"/>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Data _________________           </w:t>
      </w:r>
      <w:r>
        <w:rPr>
          <w:rFonts w:ascii="Bookman Old Style" w:eastAsia="Bookman Old Style" w:hAnsi="Bookman Old Style" w:cs="Bookman Old Style"/>
          <w:color w:val="000000"/>
          <w:sz w:val="22"/>
          <w:szCs w:val="22"/>
        </w:rPr>
        <w:tab/>
      </w:r>
      <w:r>
        <w:rPr>
          <w:rFonts w:ascii="Bookman Old Style" w:eastAsia="Bookman Old Style" w:hAnsi="Bookman Old Style" w:cs="Bookman Old Style"/>
          <w:color w:val="000000"/>
          <w:sz w:val="22"/>
          <w:szCs w:val="22"/>
        </w:rPr>
        <w:tab/>
        <w:t xml:space="preserve">   </w:t>
      </w:r>
      <w:r>
        <w:rPr>
          <w:rFonts w:ascii="Bookman Old Style" w:eastAsia="Bookman Old Style" w:hAnsi="Bookman Old Style" w:cs="Bookman Old Style"/>
          <w:color w:val="000000"/>
          <w:sz w:val="22"/>
          <w:szCs w:val="22"/>
        </w:rPr>
        <w:tab/>
      </w:r>
      <w:r>
        <w:rPr>
          <w:rFonts w:ascii="Bookman Old Style" w:eastAsia="Bookman Old Style" w:hAnsi="Bookman Old Style" w:cs="Bookman Old Style"/>
          <w:color w:val="000000"/>
          <w:sz w:val="22"/>
          <w:szCs w:val="22"/>
        </w:rPr>
        <w:tab/>
        <w:t xml:space="preserve">        Legale Rappresentante</w:t>
      </w:r>
    </w:p>
    <w:p w:rsidR="007661F5" w:rsidRDefault="000744E5" w:rsidP="00746C4D">
      <w:pPr>
        <w:pBdr>
          <w:top w:val="nil"/>
          <w:left w:val="nil"/>
          <w:bottom w:val="nil"/>
          <w:right w:val="nil"/>
          <w:between w:val="nil"/>
        </w:pBdr>
        <w:spacing w:line="240" w:lineRule="auto"/>
        <w:ind w:left="0" w:hanging="2"/>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lastRenderedPageBreak/>
        <w:tab/>
      </w:r>
      <w:r>
        <w:rPr>
          <w:rFonts w:ascii="Bookman Old Style" w:eastAsia="Bookman Old Style" w:hAnsi="Bookman Old Style" w:cs="Bookman Old Style"/>
          <w:color w:val="000000"/>
          <w:sz w:val="22"/>
          <w:szCs w:val="22"/>
        </w:rPr>
        <w:tab/>
      </w:r>
      <w:r>
        <w:rPr>
          <w:rFonts w:ascii="Bookman Old Style" w:eastAsia="Bookman Old Style" w:hAnsi="Bookman Old Style" w:cs="Bookman Old Style"/>
          <w:color w:val="000000"/>
          <w:sz w:val="22"/>
          <w:szCs w:val="22"/>
        </w:rPr>
        <w:tab/>
      </w:r>
      <w:r>
        <w:rPr>
          <w:rFonts w:ascii="Bookman Old Style" w:eastAsia="Bookman Old Style" w:hAnsi="Bookman Old Style" w:cs="Bookman Old Style"/>
          <w:color w:val="000000"/>
          <w:sz w:val="22"/>
          <w:szCs w:val="22"/>
        </w:rPr>
        <w:tab/>
        <w:t xml:space="preserve">   </w:t>
      </w:r>
      <w:r>
        <w:rPr>
          <w:rFonts w:ascii="Bookman Old Style" w:eastAsia="Bookman Old Style" w:hAnsi="Bookman Old Style" w:cs="Bookman Old Style"/>
          <w:color w:val="000000"/>
          <w:sz w:val="22"/>
          <w:szCs w:val="22"/>
        </w:rPr>
        <w:tab/>
        <w:t xml:space="preserve">                                         ____________________________</w:t>
      </w:r>
      <w:r>
        <w:rPr>
          <w:rFonts w:ascii="Bookman Old Style" w:eastAsia="Bookman Old Style" w:hAnsi="Bookman Old Style" w:cs="Bookman Old Style"/>
          <w:color w:val="000000"/>
          <w:sz w:val="22"/>
          <w:szCs w:val="22"/>
        </w:rPr>
        <w:tab/>
      </w:r>
      <w:r>
        <w:rPr>
          <w:rFonts w:ascii="Bookman Old Style" w:eastAsia="Bookman Old Style" w:hAnsi="Bookman Old Style" w:cs="Bookman Old Style"/>
          <w:color w:val="000000"/>
          <w:sz w:val="22"/>
          <w:szCs w:val="22"/>
        </w:rPr>
        <w:tab/>
      </w:r>
    </w:p>
    <w:p w:rsidR="007661F5" w:rsidRDefault="000744E5" w:rsidP="00746C4D">
      <w:pPr>
        <w:pBdr>
          <w:top w:val="nil"/>
          <w:left w:val="nil"/>
          <w:bottom w:val="nil"/>
          <w:right w:val="nil"/>
          <w:between w:val="nil"/>
        </w:pBdr>
        <w:spacing w:line="240" w:lineRule="auto"/>
        <w:ind w:left="0" w:hanging="2"/>
        <w:rPr>
          <w:rFonts w:ascii="Bookman Old Style" w:eastAsia="Bookman Old Style" w:hAnsi="Bookman Old Style" w:cs="Bookman Old Style"/>
          <w:color w:val="000000"/>
          <w:sz w:val="22"/>
          <w:szCs w:val="22"/>
        </w:rPr>
      </w:pPr>
      <w:r>
        <w:rPr>
          <w:rFonts w:ascii="Bookman Old Style" w:eastAsia="Bookman Old Style" w:hAnsi="Bookman Old Style" w:cs="Bookman Old Style"/>
          <w:color w:val="000000"/>
          <w:sz w:val="22"/>
          <w:szCs w:val="22"/>
        </w:rPr>
        <w:t xml:space="preserve">                                                                                                                          </w:t>
      </w:r>
    </w:p>
    <w:p w:rsidR="007661F5" w:rsidRDefault="007661F5" w:rsidP="00746C4D">
      <w:pPr>
        <w:pBdr>
          <w:top w:val="nil"/>
          <w:left w:val="nil"/>
          <w:bottom w:val="nil"/>
          <w:right w:val="nil"/>
          <w:between w:val="nil"/>
        </w:pBdr>
        <w:spacing w:line="240" w:lineRule="auto"/>
        <w:ind w:left="0" w:hanging="2"/>
        <w:rPr>
          <w:rFonts w:ascii="Bookman Old Style" w:eastAsia="Bookman Old Style" w:hAnsi="Bookman Old Style" w:cs="Bookman Old Style"/>
          <w:color w:val="000000"/>
          <w:sz w:val="22"/>
          <w:szCs w:val="22"/>
        </w:rPr>
      </w:pPr>
    </w:p>
    <w:p w:rsidR="007661F5" w:rsidRDefault="000744E5" w:rsidP="00746C4D">
      <w:pPr>
        <w:pBdr>
          <w:top w:val="nil"/>
          <w:left w:val="nil"/>
          <w:bottom w:val="nil"/>
          <w:right w:val="nil"/>
          <w:between w:val="nil"/>
        </w:pBdr>
        <w:spacing w:line="240" w:lineRule="auto"/>
        <w:ind w:left="0" w:hanging="2"/>
        <w:rPr>
          <w:rFonts w:ascii="Bookman Old Style" w:eastAsia="Bookman Old Style" w:hAnsi="Bookman Old Style" w:cs="Bookman Old Style"/>
          <w:color w:val="000000"/>
          <w:sz w:val="22"/>
          <w:szCs w:val="22"/>
        </w:rPr>
      </w:pPr>
      <w:r>
        <w:rPr>
          <w:rFonts w:ascii="Bookman Old Style" w:eastAsia="Bookman Old Style" w:hAnsi="Bookman Old Style" w:cs="Bookman Old Style"/>
          <w:i/>
          <w:color w:val="000000"/>
          <w:sz w:val="22"/>
          <w:szCs w:val="22"/>
        </w:rPr>
        <w:t xml:space="preserve"> </w:t>
      </w:r>
    </w:p>
    <w:p w:rsidR="007661F5" w:rsidRDefault="000744E5" w:rsidP="00746C4D">
      <w:pPr>
        <w:pBdr>
          <w:top w:val="nil"/>
          <w:left w:val="nil"/>
          <w:bottom w:val="nil"/>
          <w:right w:val="nil"/>
          <w:between w:val="nil"/>
        </w:pBdr>
        <w:spacing w:line="240" w:lineRule="auto"/>
        <w:ind w:left="0" w:hanging="2"/>
        <w:rPr>
          <w:rFonts w:ascii="Bookman Old Style" w:eastAsia="Bookman Old Style" w:hAnsi="Bookman Old Style" w:cs="Bookman Old Style"/>
          <w:color w:val="000000"/>
          <w:sz w:val="22"/>
          <w:szCs w:val="22"/>
        </w:rPr>
      </w:pPr>
      <w:r>
        <w:rPr>
          <w:rFonts w:ascii="Bookman Old Style" w:eastAsia="Bookman Old Style" w:hAnsi="Bookman Old Style" w:cs="Bookman Old Style"/>
          <w:i/>
          <w:color w:val="000000"/>
          <w:sz w:val="22"/>
          <w:szCs w:val="22"/>
          <w:u w:val="single"/>
        </w:rPr>
        <w:t>Avvertenze</w:t>
      </w:r>
      <w:r>
        <w:rPr>
          <w:rFonts w:ascii="Bookman Old Style" w:eastAsia="Bookman Old Style" w:hAnsi="Bookman Old Style" w:cs="Bookman Old Style"/>
          <w:i/>
          <w:color w:val="000000"/>
          <w:sz w:val="22"/>
          <w:szCs w:val="22"/>
        </w:rPr>
        <w:t xml:space="preserve">: </w:t>
      </w:r>
    </w:p>
    <w:p w:rsidR="007661F5" w:rsidRDefault="000744E5" w:rsidP="00746C4D">
      <w:pPr>
        <w:pBdr>
          <w:top w:val="nil"/>
          <w:left w:val="nil"/>
          <w:bottom w:val="nil"/>
          <w:right w:val="nil"/>
          <w:between w:val="nil"/>
        </w:pBdr>
        <w:spacing w:line="240" w:lineRule="auto"/>
        <w:ind w:left="0" w:right="-11"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i/>
          <w:color w:val="000000"/>
          <w:sz w:val="22"/>
          <w:szCs w:val="22"/>
        </w:rPr>
        <w:t xml:space="preserve">Qualora la dichiarazione presenti delle irregolarità rilevabili d’ufficio, non costituenti falsità, oppure sia incompleta, il funzionario competente a ricevere la documentazione ne dà comunicazione all’interessato per la regolarizzazione o completamento. </w:t>
      </w:r>
    </w:p>
    <w:p w:rsidR="007661F5" w:rsidRDefault="000744E5" w:rsidP="00746C4D">
      <w:pPr>
        <w:pBdr>
          <w:top w:val="nil"/>
          <w:left w:val="nil"/>
          <w:bottom w:val="nil"/>
          <w:right w:val="nil"/>
          <w:between w:val="nil"/>
        </w:pBdr>
        <w:spacing w:line="240" w:lineRule="auto"/>
        <w:ind w:left="0" w:right="-11" w:hanging="2"/>
        <w:jc w:val="both"/>
        <w:rPr>
          <w:rFonts w:ascii="Bookman Old Style" w:eastAsia="Bookman Old Style" w:hAnsi="Bookman Old Style" w:cs="Bookman Old Style"/>
          <w:color w:val="000000"/>
          <w:sz w:val="22"/>
          <w:szCs w:val="22"/>
        </w:rPr>
      </w:pPr>
      <w:r>
        <w:rPr>
          <w:rFonts w:ascii="Bookman Old Style" w:eastAsia="Bookman Old Style" w:hAnsi="Bookman Old Style" w:cs="Bookman Old Style"/>
          <w:i/>
          <w:color w:val="000000"/>
          <w:sz w:val="22"/>
          <w:szCs w:val="22"/>
        </w:rPr>
        <w:t xml:space="preserve">Qualora invece, da un controllo successivo, emerga la non veridicità del contenuto della dichiarazione, il dichiarante decade dai benefici eventualmente conseguenti al provvedimento emanato sulla base della dichiarazione non veritiera (Art. 75 DPR n. 445/2000).  </w:t>
      </w:r>
    </w:p>
    <w:p w:rsidR="007661F5" w:rsidRDefault="007661F5" w:rsidP="007661F5">
      <w:pPr>
        <w:pBdr>
          <w:top w:val="nil"/>
          <w:left w:val="nil"/>
          <w:bottom w:val="nil"/>
          <w:right w:val="nil"/>
          <w:between w:val="nil"/>
        </w:pBdr>
        <w:spacing w:line="240" w:lineRule="auto"/>
        <w:ind w:left="0" w:hanging="2"/>
        <w:jc w:val="both"/>
        <w:rPr>
          <w:rFonts w:ascii="Bookman Old Style" w:eastAsia="Bookman Old Style" w:hAnsi="Bookman Old Style" w:cs="Bookman Old Style"/>
          <w:color w:val="000000"/>
          <w:sz w:val="22"/>
          <w:szCs w:val="22"/>
        </w:rPr>
      </w:pPr>
    </w:p>
    <w:sectPr w:rsidR="007661F5">
      <w:footerReference w:type="even" r:id="rId13"/>
      <w:footerReference w:type="default" r:id="rId14"/>
      <w:pgSz w:w="11906" w:h="16838"/>
      <w:pgMar w:top="1644" w:right="1418" w:bottom="1758"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1EDC" w:rsidRDefault="00751EDC" w:rsidP="00746C4D">
      <w:pPr>
        <w:spacing w:line="240" w:lineRule="auto"/>
        <w:ind w:left="0" w:hanging="2"/>
      </w:pPr>
      <w:r>
        <w:separator/>
      </w:r>
    </w:p>
  </w:endnote>
  <w:endnote w:type="continuationSeparator" w:id="0">
    <w:p w:rsidR="00751EDC" w:rsidRDefault="00751EDC" w:rsidP="00746C4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1F5" w:rsidRDefault="000744E5" w:rsidP="00746C4D">
    <w:pPr>
      <w:pBdr>
        <w:top w:val="nil"/>
        <w:left w:val="nil"/>
        <w:bottom w:val="nil"/>
        <w:right w:val="nil"/>
        <w:between w:val="nil"/>
      </w:pBdr>
      <w:tabs>
        <w:tab w:val="center" w:pos="4819"/>
        <w:tab w:val="right" w:pos="9638"/>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end"/>
    </w:r>
  </w:p>
  <w:p w:rsidR="007661F5" w:rsidRDefault="007661F5" w:rsidP="00746C4D">
    <w:pPr>
      <w:pBdr>
        <w:top w:val="nil"/>
        <w:left w:val="nil"/>
        <w:bottom w:val="nil"/>
        <w:right w:val="nil"/>
        <w:between w:val="nil"/>
      </w:pBdr>
      <w:tabs>
        <w:tab w:val="center" w:pos="4819"/>
        <w:tab w:val="right" w:pos="9638"/>
      </w:tabs>
      <w:spacing w:line="240" w:lineRule="auto"/>
      <w:ind w:left="0" w:right="360" w:hanging="2"/>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1F5" w:rsidRDefault="000744E5" w:rsidP="00746C4D">
    <w:pPr>
      <w:pBdr>
        <w:top w:val="nil"/>
        <w:left w:val="nil"/>
        <w:bottom w:val="nil"/>
        <w:right w:val="nil"/>
        <w:between w:val="nil"/>
      </w:pBdr>
      <w:tabs>
        <w:tab w:val="center" w:pos="4819"/>
        <w:tab w:val="right" w:pos="9638"/>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3E3DCD">
      <w:rPr>
        <w:noProof/>
        <w:color w:val="000000"/>
      </w:rPr>
      <w:t>1</w:t>
    </w:r>
    <w:r>
      <w:rPr>
        <w:color w:val="000000"/>
      </w:rPr>
      <w:fldChar w:fldCharType="end"/>
    </w:r>
  </w:p>
  <w:p w:rsidR="007661F5" w:rsidRDefault="007661F5" w:rsidP="00746C4D">
    <w:pPr>
      <w:pBdr>
        <w:top w:val="nil"/>
        <w:left w:val="nil"/>
        <w:bottom w:val="nil"/>
        <w:right w:val="nil"/>
        <w:between w:val="nil"/>
      </w:pBdr>
      <w:tabs>
        <w:tab w:val="center" w:pos="4819"/>
        <w:tab w:val="right" w:pos="9638"/>
      </w:tabs>
      <w:spacing w:line="240" w:lineRule="auto"/>
      <w:ind w:left="0" w:right="360" w:hanging="2"/>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1EDC" w:rsidRDefault="00751EDC" w:rsidP="00746C4D">
      <w:pPr>
        <w:spacing w:line="240" w:lineRule="auto"/>
        <w:ind w:left="0" w:hanging="2"/>
      </w:pPr>
      <w:r>
        <w:separator/>
      </w:r>
    </w:p>
  </w:footnote>
  <w:footnote w:type="continuationSeparator" w:id="0">
    <w:p w:rsidR="00751EDC" w:rsidRDefault="00751EDC" w:rsidP="00746C4D">
      <w:pPr>
        <w:spacing w:line="240" w:lineRule="auto"/>
        <w:ind w:left="0" w:hanging="2"/>
      </w:pPr>
      <w:r>
        <w:continuationSeparator/>
      </w:r>
    </w:p>
  </w:footnote>
  <w:footnote w:id="1">
    <w:p w:rsidR="007661F5" w:rsidRDefault="000744E5" w:rsidP="00746C4D">
      <w:pPr>
        <w:pBdr>
          <w:top w:val="nil"/>
          <w:left w:val="nil"/>
          <w:bottom w:val="nil"/>
          <w:right w:val="nil"/>
          <w:between w:val="nil"/>
        </w:pBdr>
        <w:spacing w:after="13" w:line="259" w:lineRule="auto"/>
        <w:ind w:left="0" w:hanging="2"/>
        <w:rPr>
          <w:rFonts w:ascii="Bookman Old Style" w:eastAsia="Bookman Old Style" w:hAnsi="Bookman Old Style" w:cs="Bookman Old Style"/>
          <w:color w:val="000000"/>
          <w:sz w:val="16"/>
          <w:szCs w:val="16"/>
        </w:rPr>
      </w:pPr>
      <w:r>
        <w:rPr>
          <w:vertAlign w:val="superscript"/>
        </w:rPr>
        <w:footnoteRef/>
      </w:r>
      <w:r>
        <w:rPr>
          <w:rFonts w:ascii="Bookman Old Style" w:eastAsia="Bookman Old Style" w:hAnsi="Bookman Old Style" w:cs="Bookman Old Style"/>
          <w:color w:val="000000"/>
          <w:sz w:val="16"/>
          <w:szCs w:val="16"/>
        </w:rPr>
        <w:t xml:space="preserve"> Pubblicato nella G.U.U.E. 24 dicembre 2013, n. L 352. </w:t>
      </w:r>
    </w:p>
  </w:footnote>
  <w:footnote w:id="2">
    <w:p w:rsidR="007661F5" w:rsidRDefault="000744E5" w:rsidP="00746C4D">
      <w:pPr>
        <w:pBdr>
          <w:top w:val="nil"/>
          <w:left w:val="nil"/>
          <w:bottom w:val="nil"/>
          <w:right w:val="nil"/>
          <w:between w:val="nil"/>
        </w:pBdr>
        <w:spacing w:line="283" w:lineRule="auto"/>
        <w:ind w:left="0" w:hanging="2"/>
        <w:jc w:val="both"/>
        <w:rPr>
          <w:rFonts w:ascii="Bookman Old Style" w:eastAsia="Bookman Old Style" w:hAnsi="Bookman Old Style" w:cs="Bookman Old Style"/>
          <w:color w:val="000000"/>
          <w:sz w:val="16"/>
          <w:szCs w:val="16"/>
        </w:rPr>
      </w:pPr>
      <w:r>
        <w:rPr>
          <w:vertAlign w:val="superscript"/>
        </w:rPr>
        <w:footnoteRef/>
      </w:r>
      <w:r>
        <w:rPr>
          <w:rFonts w:ascii="Bookman Old Style" w:eastAsia="Bookman Old Style" w:hAnsi="Bookman Old Style" w:cs="Bookman Old Style"/>
          <w:color w:val="000000"/>
          <w:sz w:val="16"/>
          <w:szCs w:val="16"/>
        </w:rPr>
        <w:t xml:space="preserve"> Per “impresa unica” si intende l’impresa beneficiaria e le imprese, a monte e a valle, ad essa legate da uno dei rapporti di collegamento indicati all’art. 2, par. 2, del Reg. </w:t>
      </w:r>
      <w:r>
        <w:rPr>
          <w:rFonts w:ascii="Bookman Old Style" w:eastAsia="Bookman Old Style" w:hAnsi="Bookman Old Style" w:cs="Bookman Old Style"/>
          <w:i/>
          <w:color w:val="000000"/>
          <w:sz w:val="16"/>
          <w:szCs w:val="16"/>
        </w:rPr>
        <w:t xml:space="preserve">de </w:t>
      </w:r>
      <w:proofErr w:type="spellStart"/>
      <w:r>
        <w:rPr>
          <w:rFonts w:ascii="Bookman Old Style" w:eastAsia="Bookman Old Style" w:hAnsi="Bookman Old Style" w:cs="Bookman Old Style"/>
          <w:i/>
          <w:color w:val="000000"/>
          <w:sz w:val="16"/>
          <w:szCs w:val="16"/>
        </w:rPr>
        <w:t>minimis</w:t>
      </w:r>
      <w:proofErr w:type="spellEnd"/>
      <w:r>
        <w:rPr>
          <w:rFonts w:ascii="Bookman Old Style" w:eastAsia="Bookman Old Style" w:hAnsi="Bookman Old Style" w:cs="Bookman Old Style"/>
          <w:color w:val="000000"/>
          <w:sz w:val="16"/>
          <w:szCs w:val="16"/>
        </w:rPr>
        <w:t xml:space="preserve"> 1407/2013.  </w:t>
      </w:r>
    </w:p>
  </w:footnote>
  <w:footnote w:id="3">
    <w:p w:rsidR="007661F5" w:rsidRDefault="000744E5" w:rsidP="00746C4D">
      <w:pPr>
        <w:pBdr>
          <w:top w:val="nil"/>
          <w:left w:val="nil"/>
          <w:bottom w:val="nil"/>
          <w:right w:val="nil"/>
          <w:between w:val="nil"/>
        </w:pBdr>
        <w:spacing w:line="261" w:lineRule="auto"/>
        <w:ind w:left="0" w:right="2" w:hanging="2"/>
        <w:jc w:val="both"/>
        <w:rPr>
          <w:rFonts w:ascii="Bookman Old Style" w:eastAsia="Bookman Old Style" w:hAnsi="Bookman Old Style" w:cs="Bookman Old Style"/>
          <w:color w:val="000000"/>
          <w:sz w:val="16"/>
          <w:szCs w:val="16"/>
        </w:rPr>
      </w:pPr>
      <w:r>
        <w:rPr>
          <w:vertAlign w:val="superscript"/>
        </w:rPr>
        <w:footnoteRef/>
      </w:r>
      <w:r>
        <w:rPr>
          <w:rFonts w:ascii="Bookman Old Style" w:eastAsia="Bookman Old Style" w:hAnsi="Bookman Old Style" w:cs="Bookman Old Style"/>
          <w:color w:val="000000"/>
          <w:sz w:val="16"/>
          <w:szCs w:val="16"/>
        </w:rPr>
        <w:t xml:space="preserve"> Il periodo di tre esercizi finanziari viene determinato facendo riferimento agli esercizi finanziari utilizzati dall’impresa ed è valutato su base mobile (tenendo conto dell’esercizio finanziario in questione e dei due esercizi finanziari precedenti), come previsto dall’art. 3, par. 5, e dal considerando 10 del Reg. </w:t>
      </w:r>
      <w:r>
        <w:rPr>
          <w:rFonts w:ascii="Bookman Old Style" w:eastAsia="Bookman Old Style" w:hAnsi="Bookman Old Style" w:cs="Bookman Old Style"/>
          <w:i/>
          <w:color w:val="000000"/>
          <w:sz w:val="16"/>
          <w:szCs w:val="16"/>
        </w:rPr>
        <w:t xml:space="preserve">de </w:t>
      </w:r>
      <w:proofErr w:type="spellStart"/>
      <w:r>
        <w:rPr>
          <w:rFonts w:ascii="Bookman Old Style" w:eastAsia="Bookman Old Style" w:hAnsi="Bookman Old Style" w:cs="Bookman Old Style"/>
          <w:i/>
          <w:color w:val="000000"/>
          <w:sz w:val="16"/>
          <w:szCs w:val="16"/>
        </w:rPr>
        <w:t>minimis</w:t>
      </w:r>
      <w:proofErr w:type="spellEnd"/>
      <w:r>
        <w:rPr>
          <w:rFonts w:ascii="Bookman Old Style" w:eastAsia="Bookman Old Style" w:hAnsi="Bookman Old Style" w:cs="Bookman Old Style"/>
          <w:i/>
          <w:color w:val="000000"/>
          <w:sz w:val="16"/>
          <w:szCs w:val="16"/>
        </w:rPr>
        <w:t xml:space="preserve"> </w:t>
      </w:r>
      <w:r>
        <w:rPr>
          <w:rFonts w:ascii="Bookman Old Style" w:eastAsia="Bookman Old Style" w:hAnsi="Bookman Old Style" w:cs="Bookman Old Style"/>
          <w:color w:val="000000"/>
          <w:sz w:val="16"/>
          <w:szCs w:val="16"/>
        </w:rPr>
        <w:t xml:space="preserve">1407/2013. </w:t>
      </w:r>
    </w:p>
  </w:footnote>
  <w:footnote w:id="4">
    <w:p w:rsidR="007661F5" w:rsidRDefault="000744E5" w:rsidP="00746C4D">
      <w:pPr>
        <w:pBdr>
          <w:top w:val="nil"/>
          <w:left w:val="nil"/>
          <w:bottom w:val="nil"/>
          <w:right w:val="nil"/>
          <w:between w:val="nil"/>
        </w:pBdr>
        <w:spacing w:line="250" w:lineRule="auto"/>
        <w:ind w:left="0" w:right="2" w:hanging="2"/>
        <w:jc w:val="both"/>
        <w:rPr>
          <w:rFonts w:ascii="Calibri" w:eastAsia="Calibri" w:hAnsi="Calibri" w:cs="Calibri"/>
          <w:color w:val="000000"/>
          <w:sz w:val="20"/>
          <w:szCs w:val="20"/>
        </w:rPr>
      </w:pPr>
      <w:r>
        <w:rPr>
          <w:vertAlign w:val="superscript"/>
        </w:rPr>
        <w:footnoteRef/>
      </w:r>
      <w:r>
        <w:rPr>
          <w:rFonts w:ascii="Bookman Old Style" w:eastAsia="Bookman Old Style" w:hAnsi="Bookman Old Style" w:cs="Bookman Old Style"/>
          <w:color w:val="000000"/>
          <w:sz w:val="16"/>
          <w:szCs w:val="16"/>
        </w:rPr>
        <w:t xml:space="preserve"> Gli aiuti </w:t>
      </w:r>
      <w:r>
        <w:rPr>
          <w:rFonts w:ascii="Bookman Old Style" w:eastAsia="Bookman Old Style" w:hAnsi="Bookman Old Style" w:cs="Bookman Old Style"/>
          <w:i/>
          <w:color w:val="000000"/>
          <w:sz w:val="16"/>
          <w:szCs w:val="16"/>
        </w:rPr>
        <w:t xml:space="preserve">de </w:t>
      </w:r>
      <w:proofErr w:type="spellStart"/>
      <w:r>
        <w:rPr>
          <w:rFonts w:ascii="Bookman Old Style" w:eastAsia="Bookman Old Style" w:hAnsi="Bookman Old Style" w:cs="Bookman Old Style"/>
          <w:i/>
          <w:color w:val="000000"/>
          <w:sz w:val="16"/>
          <w:szCs w:val="16"/>
        </w:rPr>
        <w:t>minimis</w:t>
      </w:r>
      <w:proofErr w:type="spellEnd"/>
      <w:r>
        <w:rPr>
          <w:rFonts w:ascii="Bookman Old Style" w:eastAsia="Bookman Old Style" w:hAnsi="Bookman Old Style" w:cs="Bookman Old Style"/>
          <w:color w:val="000000"/>
          <w:sz w:val="16"/>
          <w:szCs w:val="16"/>
        </w:rPr>
        <w:t xml:space="preserve"> non possono essere utilizzati per l’acquisto di veicoli destinati al trasporto di merci su strada. Se un’impresa che effettua trasporto di merci su strada per conto terzi esercita anche altre attività soggette al massimale di € 200.000,00, all’impresa si applica tale massimale purché sia dimostrabile che l’attività di trasporto merci su strada non tragga un vantaggio superiore a € 100.000,00.</w:t>
      </w:r>
      <w:r>
        <w:rPr>
          <w:rFonts w:ascii="Calibri" w:eastAsia="Calibri" w:hAnsi="Calibri" w:cs="Calibri"/>
          <w:color w:val="000000"/>
          <w:sz w:val="20"/>
          <w:szCs w:val="20"/>
        </w:rPr>
        <w:t xml:space="preserve">  </w:t>
      </w:r>
    </w:p>
  </w:footnote>
  <w:footnote w:id="5">
    <w:p w:rsidR="007661F5" w:rsidRDefault="000744E5" w:rsidP="00746C4D">
      <w:pPr>
        <w:pBdr>
          <w:top w:val="nil"/>
          <w:left w:val="nil"/>
          <w:bottom w:val="nil"/>
          <w:right w:val="nil"/>
          <w:between w:val="nil"/>
        </w:pBdr>
        <w:spacing w:line="259" w:lineRule="auto"/>
        <w:ind w:left="0" w:hanging="2"/>
        <w:jc w:val="both"/>
        <w:rPr>
          <w:rFonts w:ascii="Bookman Old Style" w:eastAsia="Bookman Old Style" w:hAnsi="Bookman Old Style" w:cs="Bookman Old Style"/>
          <w:color w:val="000000"/>
          <w:sz w:val="16"/>
          <w:szCs w:val="16"/>
        </w:rPr>
      </w:pPr>
      <w:r>
        <w:rPr>
          <w:vertAlign w:val="superscript"/>
        </w:rPr>
        <w:footnoteRef/>
      </w:r>
      <w:r>
        <w:rPr>
          <w:rFonts w:ascii="Bookman Old Style" w:eastAsia="Bookman Old Style" w:hAnsi="Bookman Old Style" w:cs="Bookman Old Style"/>
          <w:color w:val="000000"/>
          <w:sz w:val="16"/>
          <w:szCs w:val="16"/>
        </w:rPr>
        <w:t xml:space="preserve"> Tuttavia se un’impresa operante nel settore della pesca e dell’acquacoltura opera anche in uno o più settori o svolge anche altre attività che rientrano nel campo di applicazione del Reg. </w:t>
      </w:r>
      <w:r>
        <w:rPr>
          <w:rFonts w:ascii="Bookman Old Style" w:eastAsia="Bookman Old Style" w:hAnsi="Bookman Old Style" w:cs="Bookman Old Style"/>
          <w:i/>
          <w:color w:val="000000"/>
          <w:sz w:val="16"/>
          <w:szCs w:val="16"/>
        </w:rPr>
        <w:t xml:space="preserve">de </w:t>
      </w:r>
      <w:proofErr w:type="spellStart"/>
      <w:r>
        <w:rPr>
          <w:rFonts w:ascii="Bookman Old Style" w:eastAsia="Bookman Old Style" w:hAnsi="Bookman Old Style" w:cs="Bookman Old Style"/>
          <w:i/>
          <w:color w:val="000000"/>
          <w:sz w:val="16"/>
          <w:szCs w:val="16"/>
        </w:rPr>
        <w:t>minimis</w:t>
      </w:r>
      <w:proofErr w:type="spellEnd"/>
      <w:r>
        <w:rPr>
          <w:rFonts w:ascii="Bookman Old Style" w:eastAsia="Bookman Old Style" w:hAnsi="Bookman Old Style" w:cs="Bookman Old Style"/>
          <w:color w:val="000000"/>
          <w:sz w:val="16"/>
          <w:szCs w:val="16"/>
        </w:rPr>
        <w:t xml:space="preserve"> 1407/2013, quest’ultimo si applica agli aiuti concessi in relazione a tali ulteriori settori o attività purché sia dimostrabile che le attività di pesca e acquacoltura non beneficiano di aiuti </w:t>
      </w:r>
      <w:r>
        <w:rPr>
          <w:rFonts w:ascii="Bookman Old Style" w:eastAsia="Bookman Old Style" w:hAnsi="Bookman Old Style" w:cs="Bookman Old Style"/>
          <w:i/>
          <w:color w:val="000000"/>
          <w:sz w:val="16"/>
          <w:szCs w:val="16"/>
        </w:rPr>
        <w:t xml:space="preserve">de </w:t>
      </w:r>
      <w:proofErr w:type="spellStart"/>
      <w:r>
        <w:rPr>
          <w:rFonts w:ascii="Bookman Old Style" w:eastAsia="Bookman Old Style" w:hAnsi="Bookman Old Style" w:cs="Bookman Old Style"/>
          <w:i/>
          <w:color w:val="000000"/>
          <w:sz w:val="16"/>
          <w:szCs w:val="16"/>
        </w:rPr>
        <w:t>minimis</w:t>
      </w:r>
      <w:proofErr w:type="spellEnd"/>
      <w:r>
        <w:rPr>
          <w:rFonts w:ascii="Bookman Old Style" w:eastAsia="Bookman Old Style" w:hAnsi="Bookman Old Style" w:cs="Bookman Old Style"/>
          <w:color w:val="000000"/>
          <w:sz w:val="16"/>
          <w:szCs w:val="16"/>
        </w:rPr>
        <w:t xml:space="preserve"> concessi sulla base del Reg. 1407/2013.  </w:t>
      </w:r>
    </w:p>
  </w:footnote>
  <w:footnote w:id="6">
    <w:p w:rsidR="007661F5" w:rsidRDefault="000744E5" w:rsidP="00746C4D">
      <w:pPr>
        <w:pBdr>
          <w:top w:val="nil"/>
          <w:left w:val="nil"/>
          <w:bottom w:val="nil"/>
          <w:right w:val="nil"/>
          <w:between w:val="nil"/>
        </w:pBdr>
        <w:spacing w:line="241" w:lineRule="auto"/>
        <w:ind w:left="0" w:right="2" w:hanging="2"/>
        <w:jc w:val="both"/>
        <w:rPr>
          <w:rFonts w:ascii="Bookman Old Style" w:eastAsia="Bookman Old Style" w:hAnsi="Bookman Old Style" w:cs="Bookman Old Style"/>
          <w:color w:val="000000"/>
          <w:sz w:val="16"/>
          <w:szCs w:val="16"/>
        </w:rPr>
      </w:pPr>
      <w:r>
        <w:rPr>
          <w:vertAlign w:val="superscript"/>
        </w:rPr>
        <w:footnoteRef/>
      </w:r>
      <w:r>
        <w:rPr>
          <w:rFonts w:ascii="Bookman Old Style" w:eastAsia="Bookman Old Style" w:hAnsi="Bookman Old Style" w:cs="Bookman Old Style"/>
          <w:color w:val="000000"/>
          <w:sz w:val="16"/>
          <w:szCs w:val="16"/>
        </w:rPr>
        <w:t xml:space="preserve"> Tuttavia se un’impresa operante nel settore della produzione primaria dei prodotti agricoli opera anche in uno o più settori o svolge anche altre attività che rientrano nel campo di applicazione del Reg. </w:t>
      </w:r>
      <w:r>
        <w:rPr>
          <w:rFonts w:ascii="Bookman Old Style" w:eastAsia="Bookman Old Style" w:hAnsi="Bookman Old Style" w:cs="Bookman Old Style"/>
          <w:i/>
          <w:color w:val="000000"/>
          <w:sz w:val="16"/>
          <w:szCs w:val="16"/>
        </w:rPr>
        <w:t xml:space="preserve">de </w:t>
      </w:r>
      <w:proofErr w:type="spellStart"/>
      <w:r>
        <w:rPr>
          <w:rFonts w:ascii="Bookman Old Style" w:eastAsia="Bookman Old Style" w:hAnsi="Bookman Old Style" w:cs="Bookman Old Style"/>
          <w:i/>
          <w:color w:val="000000"/>
          <w:sz w:val="16"/>
          <w:szCs w:val="16"/>
        </w:rPr>
        <w:t>minimis</w:t>
      </w:r>
      <w:proofErr w:type="spellEnd"/>
      <w:r>
        <w:rPr>
          <w:rFonts w:ascii="Bookman Old Style" w:eastAsia="Bookman Old Style" w:hAnsi="Bookman Old Style" w:cs="Bookman Old Style"/>
          <w:color w:val="000000"/>
          <w:sz w:val="16"/>
          <w:szCs w:val="16"/>
        </w:rPr>
        <w:t xml:space="preserve"> 1407/2013, quest’ultimo si applica agli aiuti concessi in relazione a tali ulteriori settori o attività purché sia dimostrabile che l’attività di produzione primaria di prodotti agricoli non beneficia di aiuti </w:t>
      </w:r>
      <w:r>
        <w:rPr>
          <w:rFonts w:ascii="Bookman Old Style" w:eastAsia="Bookman Old Style" w:hAnsi="Bookman Old Style" w:cs="Bookman Old Style"/>
          <w:i/>
          <w:color w:val="000000"/>
          <w:sz w:val="16"/>
          <w:szCs w:val="16"/>
        </w:rPr>
        <w:t xml:space="preserve">de </w:t>
      </w:r>
      <w:proofErr w:type="spellStart"/>
      <w:r>
        <w:rPr>
          <w:rFonts w:ascii="Bookman Old Style" w:eastAsia="Bookman Old Style" w:hAnsi="Bookman Old Style" w:cs="Bookman Old Style"/>
          <w:i/>
          <w:color w:val="000000"/>
          <w:sz w:val="16"/>
          <w:szCs w:val="16"/>
        </w:rPr>
        <w:t>minimis</w:t>
      </w:r>
      <w:proofErr w:type="spellEnd"/>
      <w:r>
        <w:rPr>
          <w:rFonts w:ascii="Bookman Old Style" w:eastAsia="Bookman Old Style" w:hAnsi="Bookman Old Style" w:cs="Bookman Old Style"/>
          <w:color w:val="000000"/>
          <w:sz w:val="16"/>
          <w:szCs w:val="16"/>
        </w:rPr>
        <w:t xml:space="preserve"> concessi sulla base del Reg. 1407/2013. </w:t>
      </w:r>
    </w:p>
    <w:p w:rsidR="007661F5" w:rsidRDefault="000744E5" w:rsidP="00746C4D">
      <w:pPr>
        <w:pBdr>
          <w:top w:val="nil"/>
          <w:left w:val="nil"/>
          <w:bottom w:val="nil"/>
          <w:right w:val="nil"/>
          <w:between w:val="nil"/>
        </w:pBdr>
        <w:spacing w:line="238" w:lineRule="auto"/>
        <w:ind w:left="0" w:right="2" w:hanging="2"/>
        <w:jc w:val="both"/>
        <w:rPr>
          <w:rFonts w:ascii="Calibri" w:eastAsia="Calibri" w:hAnsi="Calibri" w:cs="Calibri"/>
          <w:color w:val="000000"/>
          <w:sz w:val="20"/>
          <w:szCs w:val="20"/>
        </w:rPr>
      </w:pPr>
      <w:r>
        <w:rPr>
          <w:rFonts w:ascii="Bookman Old Style" w:eastAsia="Bookman Old Style" w:hAnsi="Bookman Old Style" w:cs="Bookman Old Style"/>
          <w:color w:val="000000"/>
          <w:sz w:val="16"/>
          <w:szCs w:val="16"/>
        </w:rPr>
        <w:t xml:space="preserve">7 Tuttavia se un’impresa operante nel settore della trasformazione e commercializzazione di prodotti agricoli nei casi esclusi indicati opera anche in uno o più settori o svolge anche altre attività che rientrano nel campo di applicazione del Reg. </w:t>
      </w:r>
      <w:r>
        <w:rPr>
          <w:rFonts w:ascii="Bookman Old Style" w:eastAsia="Bookman Old Style" w:hAnsi="Bookman Old Style" w:cs="Bookman Old Style"/>
          <w:i/>
          <w:color w:val="000000"/>
          <w:sz w:val="16"/>
          <w:szCs w:val="16"/>
        </w:rPr>
        <w:t xml:space="preserve">de </w:t>
      </w:r>
      <w:proofErr w:type="spellStart"/>
      <w:r>
        <w:rPr>
          <w:rFonts w:ascii="Bookman Old Style" w:eastAsia="Bookman Old Style" w:hAnsi="Bookman Old Style" w:cs="Bookman Old Style"/>
          <w:i/>
          <w:color w:val="000000"/>
          <w:sz w:val="16"/>
          <w:szCs w:val="16"/>
        </w:rPr>
        <w:t>minimis</w:t>
      </w:r>
      <w:proofErr w:type="spellEnd"/>
      <w:r>
        <w:rPr>
          <w:rFonts w:ascii="Bookman Old Style" w:eastAsia="Bookman Old Style" w:hAnsi="Bookman Old Style" w:cs="Bookman Old Style"/>
          <w:color w:val="000000"/>
          <w:sz w:val="16"/>
          <w:szCs w:val="16"/>
        </w:rPr>
        <w:t xml:space="preserve"> 1407/2013, quest’ultimo si applica agli aiuti concessi in relazione a tali ulteriori settori o attività purché sia dimostrabile che l’attività di trasformazione e commercializzazione di prodotti agricoli nei casi esclusi indicati non beneficia di aiuti </w:t>
      </w:r>
      <w:r>
        <w:rPr>
          <w:rFonts w:ascii="Bookman Old Style" w:eastAsia="Bookman Old Style" w:hAnsi="Bookman Old Style" w:cs="Bookman Old Style"/>
          <w:i/>
          <w:color w:val="000000"/>
          <w:sz w:val="16"/>
          <w:szCs w:val="16"/>
        </w:rPr>
        <w:t xml:space="preserve">de </w:t>
      </w:r>
      <w:proofErr w:type="spellStart"/>
      <w:r>
        <w:rPr>
          <w:rFonts w:ascii="Bookman Old Style" w:eastAsia="Bookman Old Style" w:hAnsi="Bookman Old Style" w:cs="Bookman Old Style"/>
          <w:i/>
          <w:color w:val="000000"/>
          <w:sz w:val="16"/>
          <w:szCs w:val="16"/>
        </w:rPr>
        <w:t>minimis</w:t>
      </w:r>
      <w:proofErr w:type="spellEnd"/>
      <w:r>
        <w:rPr>
          <w:rFonts w:ascii="Bookman Old Style" w:eastAsia="Bookman Old Style" w:hAnsi="Bookman Old Style" w:cs="Bookman Old Style"/>
          <w:color w:val="000000"/>
          <w:sz w:val="16"/>
          <w:szCs w:val="16"/>
        </w:rPr>
        <w:t xml:space="preserve"> concessi sulla base del Reg. 1407/2013.</w:t>
      </w:r>
      <w:r>
        <w:rPr>
          <w:rFonts w:ascii="Calibri" w:eastAsia="Calibri" w:hAnsi="Calibri" w:cs="Calibri"/>
          <w:color w:val="000000"/>
          <w:sz w:val="20"/>
          <w:szCs w:val="20"/>
        </w:rPr>
        <w:t xml:space="preserve"> </w:t>
      </w:r>
    </w:p>
  </w:footnote>
  <w:footnote w:id="7">
    <w:p w:rsidR="007661F5" w:rsidRDefault="000744E5" w:rsidP="00746C4D">
      <w:pPr>
        <w:pBdr>
          <w:top w:val="nil"/>
          <w:left w:val="nil"/>
          <w:bottom w:val="nil"/>
          <w:right w:val="nil"/>
          <w:between w:val="nil"/>
        </w:pBdr>
        <w:spacing w:line="261" w:lineRule="auto"/>
        <w:ind w:left="0" w:right="2" w:hanging="2"/>
        <w:jc w:val="both"/>
        <w:rPr>
          <w:rFonts w:ascii="Bookman Old Style" w:eastAsia="Bookman Old Style" w:hAnsi="Bookman Old Style" w:cs="Bookman Old Style"/>
          <w:color w:val="000000"/>
          <w:sz w:val="16"/>
          <w:szCs w:val="16"/>
        </w:rPr>
      </w:pPr>
      <w:r>
        <w:rPr>
          <w:vertAlign w:val="superscript"/>
        </w:rPr>
        <w:footnoteRef/>
      </w:r>
      <w:r>
        <w:rPr>
          <w:rFonts w:ascii="Bookman Old Style" w:eastAsia="Bookman Old Style" w:hAnsi="Bookman Old Style" w:cs="Bookman Old Style"/>
          <w:color w:val="000000"/>
          <w:sz w:val="16"/>
          <w:szCs w:val="16"/>
        </w:rPr>
        <w:t>8 Sono “trasparenti” gli aiuti per i quali si può calcolare con precisione l’equivalente sovvenzione lordo ex ante senza che sia necessario effettuare una valutazione dei rischi (art. 4, Reg. 1407/2013). Nel caso specifico il metodo di calcolo dell’elemento di aiuto nelle garanzie a favore delle PMI è quello notificato dal Ministero dello Sviluppo Economico come aiuto n. 182/2010 e autorizzato con decisione n. 4505 del 6 luglio 2010.</w:t>
      </w:r>
      <w:r>
        <w:rPr>
          <w:rFonts w:ascii="Bookman Old Style" w:eastAsia="Bookman Old Style" w:hAnsi="Bookman Old Style" w:cs="Bookman Old Style"/>
          <w:b/>
          <w:color w:val="000000"/>
          <w:sz w:val="16"/>
          <w:szCs w:val="16"/>
        </w:rPr>
        <w:t xml:space="preserve"> </w:t>
      </w:r>
    </w:p>
  </w:footnote>
  <w:footnote w:id="8">
    <w:p w:rsidR="007661F5" w:rsidRDefault="000744E5" w:rsidP="00746C4D">
      <w:pPr>
        <w:pBdr>
          <w:top w:val="nil"/>
          <w:left w:val="nil"/>
          <w:bottom w:val="nil"/>
          <w:right w:val="nil"/>
          <w:between w:val="nil"/>
        </w:pBdr>
        <w:spacing w:line="240" w:lineRule="auto"/>
        <w:ind w:left="0" w:hanging="2"/>
        <w:jc w:val="both"/>
        <w:rPr>
          <w:rFonts w:ascii="Verdana" w:eastAsia="Verdana" w:hAnsi="Verdana" w:cs="Verdana"/>
          <w:color w:val="000000"/>
          <w:sz w:val="16"/>
          <w:szCs w:val="16"/>
        </w:rPr>
      </w:pPr>
      <w:r>
        <w:rPr>
          <w:vertAlign w:val="superscript"/>
        </w:rPr>
        <w:footnoteRef/>
      </w:r>
      <w:r>
        <w:rPr>
          <w:rFonts w:ascii="Bookman Old Style" w:eastAsia="Bookman Old Style" w:hAnsi="Bookman Old Style" w:cs="Bookman Old Style"/>
          <w:color w:val="000000"/>
          <w:sz w:val="16"/>
          <w:szCs w:val="16"/>
        </w:rPr>
        <w:t xml:space="preserve">9 Indicare il regolamento in base al quale è stato concesso l’aiuto “de </w:t>
      </w:r>
      <w:proofErr w:type="spellStart"/>
      <w:r>
        <w:rPr>
          <w:rFonts w:ascii="Bookman Old Style" w:eastAsia="Bookman Old Style" w:hAnsi="Bookman Old Style" w:cs="Bookman Old Style"/>
          <w:color w:val="000000"/>
          <w:sz w:val="16"/>
          <w:szCs w:val="16"/>
        </w:rPr>
        <w:t>minimis</w:t>
      </w:r>
      <w:proofErr w:type="spellEnd"/>
      <w:r>
        <w:rPr>
          <w:rFonts w:ascii="Bookman Old Style" w:eastAsia="Bookman Old Style" w:hAnsi="Bookman Old Style" w:cs="Bookman Old Style"/>
          <w:color w:val="000000"/>
          <w:sz w:val="16"/>
          <w:szCs w:val="16"/>
        </w:rPr>
        <w:t>”: Reg. n. 1998/2006 (generale per il periodo 2007-2013); Reg. n. 1407/2013 (generale per il periodo 2014-2020);</w:t>
      </w:r>
    </w:p>
  </w:footnote>
  <w:footnote w:id="9">
    <w:p w:rsidR="007661F5" w:rsidRDefault="000744E5" w:rsidP="00746C4D">
      <w:pPr>
        <w:pBdr>
          <w:top w:val="nil"/>
          <w:left w:val="nil"/>
          <w:bottom w:val="nil"/>
          <w:right w:val="nil"/>
          <w:between w:val="nil"/>
        </w:pBdr>
        <w:spacing w:line="240" w:lineRule="auto"/>
        <w:ind w:left="0" w:hanging="2"/>
        <w:rPr>
          <w:rFonts w:ascii="Bookman Old Style" w:eastAsia="Bookman Old Style" w:hAnsi="Bookman Old Style" w:cs="Bookman Old Style"/>
          <w:color w:val="000000"/>
          <w:sz w:val="16"/>
          <w:szCs w:val="16"/>
        </w:rPr>
      </w:pPr>
      <w:r>
        <w:rPr>
          <w:vertAlign w:val="superscript"/>
        </w:rPr>
        <w:footnoteRef/>
      </w:r>
      <w:r>
        <w:rPr>
          <w:rFonts w:ascii="Bookman Old Style" w:eastAsia="Bookman Old Style" w:hAnsi="Bookman Old Style" w:cs="Bookman Old Style"/>
          <w:color w:val="000000"/>
          <w:sz w:val="16"/>
          <w:szCs w:val="16"/>
        </w:rPr>
        <w:t xml:space="preserve">10 Per inserire il codice </w:t>
      </w:r>
      <w:proofErr w:type="spellStart"/>
      <w:r>
        <w:rPr>
          <w:rFonts w:ascii="Bookman Old Style" w:eastAsia="Bookman Old Style" w:hAnsi="Bookman Old Style" w:cs="Bookman Old Style"/>
          <w:color w:val="000000"/>
          <w:sz w:val="16"/>
          <w:szCs w:val="16"/>
        </w:rPr>
        <w:t>Ateco</w:t>
      </w:r>
      <w:proofErr w:type="spellEnd"/>
      <w:r>
        <w:rPr>
          <w:rFonts w:ascii="Bookman Old Style" w:eastAsia="Bookman Old Style" w:hAnsi="Bookman Old Style" w:cs="Bookman Old Style"/>
          <w:color w:val="000000"/>
          <w:sz w:val="16"/>
          <w:szCs w:val="16"/>
        </w:rPr>
        <w:t xml:space="preserve"> dell’attività svolta, consultare il sito: </w:t>
      </w:r>
      <w:hyperlink r:id="rId1">
        <w:r>
          <w:rPr>
            <w:rFonts w:ascii="Bookman Old Style" w:eastAsia="Bookman Old Style" w:hAnsi="Bookman Old Style" w:cs="Bookman Old Style"/>
            <w:color w:val="0000FF"/>
            <w:sz w:val="16"/>
            <w:szCs w:val="16"/>
            <w:u w:val="single"/>
          </w:rPr>
          <w:t>http://www.istat.it/strumenti/definizioni/ateco/ateco2007.html</w:t>
        </w:r>
      </w:hyperlink>
    </w:p>
    <w:p w:rsidR="007661F5" w:rsidRDefault="007661F5" w:rsidP="00746C4D">
      <w:pPr>
        <w:pBdr>
          <w:top w:val="nil"/>
          <w:left w:val="nil"/>
          <w:bottom w:val="nil"/>
          <w:right w:val="nil"/>
          <w:between w:val="nil"/>
        </w:pBdr>
        <w:spacing w:line="240" w:lineRule="auto"/>
        <w:ind w:left="0" w:hanging="2"/>
        <w:rPr>
          <w:color w:val="000000"/>
          <w:sz w:val="20"/>
          <w:szCs w:val="20"/>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0168F"/>
    <w:multiLevelType w:val="multilevel"/>
    <w:tmpl w:val="5F18AC96"/>
    <w:lvl w:ilvl="0">
      <w:start w:val="2000"/>
      <w:numFmt w:val="bullet"/>
      <w:lvlText w:val="-"/>
      <w:lvlJc w:val="left"/>
      <w:pPr>
        <w:ind w:left="360" w:hanging="360"/>
      </w:pPr>
      <w:rPr>
        <w:vertAlign w:val="baseline"/>
      </w:rPr>
    </w:lvl>
    <w:lvl w:ilvl="1">
      <w:start w:val="1"/>
      <w:numFmt w:val="lowerRoman"/>
      <w:lvlText w:val="%2)"/>
      <w:lvlJc w:val="left"/>
      <w:pPr>
        <w:ind w:left="1440" w:hanging="720"/>
      </w:pPr>
      <w:rPr>
        <w:b w:val="0"/>
        <w:i/>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nsid w:val="3B014D5D"/>
    <w:multiLevelType w:val="multilevel"/>
    <w:tmpl w:val="40D485F8"/>
    <w:lvl w:ilvl="0">
      <w:start w:val="1"/>
      <w:numFmt w:val="bullet"/>
      <w:lvlText w:val="-"/>
      <w:lvlJc w:val="left"/>
      <w:pPr>
        <w:ind w:left="710" w:hanging="710"/>
      </w:pPr>
      <w:rPr>
        <w:rFonts w:ascii="Times New Roman" w:eastAsia="Times New Roman" w:hAnsi="Times New Roman" w:cs="Times New Roman"/>
        <w:b w:val="0"/>
        <w:i w:val="0"/>
        <w:strike w:val="0"/>
        <w:color w:val="000000"/>
        <w:sz w:val="20"/>
        <w:szCs w:val="20"/>
        <w:u w:val="none"/>
        <w:shd w:val="clear" w:color="auto" w:fill="auto"/>
        <w:vertAlign w:val="baseline"/>
      </w:rPr>
    </w:lvl>
    <w:lvl w:ilvl="1">
      <w:start w:val="1"/>
      <w:numFmt w:val="bullet"/>
      <w:lvlText w:val="•"/>
      <w:lvlJc w:val="left"/>
      <w:pPr>
        <w:ind w:left="1078" w:hanging="1078"/>
      </w:pPr>
      <w:rPr>
        <w:rFonts w:ascii="Arial" w:eastAsia="Arial" w:hAnsi="Arial" w:cs="Arial"/>
        <w:b w:val="0"/>
        <w:i w:val="0"/>
        <w:strike w:val="0"/>
        <w:color w:val="000000"/>
        <w:sz w:val="20"/>
        <w:szCs w:val="20"/>
        <w:u w:val="none"/>
        <w:shd w:val="clear" w:color="auto" w:fill="auto"/>
        <w:vertAlign w:val="baseline"/>
      </w:rPr>
    </w:lvl>
    <w:lvl w:ilvl="2">
      <w:start w:val="1"/>
      <w:numFmt w:val="bullet"/>
      <w:lvlText w:val="▪"/>
      <w:lvlJc w:val="left"/>
      <w:pPr>
        <w:ind w:left="1798" w:hanging="1798"/>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518" w:hanging="2518"/>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238" w:hanging="3238"/>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3958" w:hanging="3958"/>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4678" w:hanging="4678"/>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398" w:hanging="5398"/>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118" w:hanging="6118"/>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661F5"/>
    <w:rsid w:val="000744E5"/>
    <w:rsid w:val="003E3DCD"/>
    <w:rsid w:val="00746C4D"/>
    <w:rsid w:val="00751EDC"/>
    <w:rsid w:val="007661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pPr>
      <w:suppressAutoHyphens/>
      <w:spacing w:line="1" w:lineRule="atLeast"/>
      <w:ind w:leftChars="-1" w:left="-1" w:hangingChars="1" w:hanging="1"/>
      <w:textDirection w:val="btLr"/>
      <w:textAlignment w:val="top"/>
      <w:outlineLvl w:val="0"/>
    </w:pPr>
    <w:rPr>
      <w:position w:val="-1"/>
      <w:sz w:val="24"/>
      <w:szCs w:val="24"/>
      <w:lang w:eastAsia="it-IT"/>
    </w:rPr>
  </w:style>
  <w:style w:type="paragraph" w:styleId="Titolo1">
    <w:name w:val="heading 1"/>
    <w:basedOn w:val="Normale"/>
    <w:next w:val="Normale"/>
    <w:pPr>
      <w:keepNext/>
      <w:jc w:val="center"/>
    </w:pPr>
    <w:rPr>
      <w:rFonts w:ascii="Arial" w:hAnsi="Arial" w:cs="Arial"/>
      <w:b/>
      <w:bCs/>
      <w:sz w:val="36"/>
    </w:rPr>
  </w:style>
  <w:style w:type="paragraph" w:styleId="Titolo2">
    <w:name w:val="heading 2"/>
    <w:basedOn w:val="Normale"/>
    <w:next w:val="Normale"/>
    <w:pPr>
      <w:keepNext/>
      <w:keepLines/>
      <w:spacing w:before="360" w:after="80"/>
      <w:outlineLvl w:val="1"/>
    </w:pPr>
    <w:rPr>
      <w:b/>
      <w:sz w:val="36"/>
      <w:szCs w:val="36"/>
    </w:rPr>
  </w:style>
  <w:style w:type="paragraph" w:styleId="Titolo3">
    <w:name w:val="heading 3"/>
    <w:basedOn w:val="Normale"/>
    <w:next w:val="Normale"/>
    <w:pPr>
      <w:keepNext/>
      <w:keepLines/>
      <w:spacing w:before="280" w:after="80"/>
      <w:outlineLvl w:val="2"/>
    </w:pPr>
    <w:rPr>
      <w:b/>
      <w:sz w:val="28"/>
      <w:szCs w:val="28"/>
    </w:rPr>
  </w:style>
  <w:style w:type="paragraph" w:styleId="Titolo4">
    <w:name w:val="heading 4"/>
    <w:basedOn w:val="Normale"/>
    <w:next w:val="Normale"/>
    <w:pPr>
      <w:keepNext/>
      <w:keepLines/>
      <w:spacing w:before="240" w:after="40"/>
      <w:outlineLvl w:val="3"/>
    </w:pPr>
    <w:rPr>
      <w:b/>
    </w:rPr>
  </w:style>
  <w:style w:type="paragraph" w:styleId="Titolo5">
    <w:name w:val="heading 5"/>
    <w:basedOn w:val="Normale"/>
    <w:next w:val="Normale"/>
    <w:pPr>
      <w:keepNext/>
      <w:keepLines/>
      <w:spacing w:before="220" w:after="40"/>
      <w:outlineLvl w:val="4"/>
    </w:pPr>
    <w:rPr>
      <w:b/>
      <w:sz w:val="22"/>
      <w:szCs w:val="22"/>
    </w:rPr>
  </w:style>
  <w:style w:type="paragraph" w:styleId="Titolo6">
    <w:name w:val="heading 6"/>
    <w:basedOn w:val="Normale"/>
    <w:next w:val="Normale"/>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paragraph" w:styleId="Didascalia">
    <w:name w:val="caption"/>
    <w:basedOn w:val="Normale"/>
    <w:next w:val="Normale"/>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line="287" w:lineRule="auto"/>
      <w:jc w:val="center"/>
    </w:pPr>
    <w:rPr>
      <w:rFonts w:ascii="Arial" w:hAnsi="Arial" w:cs="Arial"/>
      <w:b/>
      <w:bCs/>
      <w:sz w:val="32"/>
      <w:bdr w:val="single" w:sz="4" w:space="0" w:color="auto"/>
    </w:rPr>
  </w:style>
  <w:style w:type="paragraph" w:styleId="Pidipagina">
    <w:name w:val="footer"/>
    <w:basedOn w:val="Normale"/>
    <w:pPr>
      <w:tabs>
        <w:tab w:val="center" w:pos="4819"/>
        <w:tab w:val="right" w:pos="9638"/>
      </w:tabs>
    </w:pPr>
  </w:style>
  <w:style w:type="character" w:styleId="Numeropagina">
    <w:name w:val="page number"/>
    <w:basedOn w:val="Carpredefinitoparagrafo"/>
    <w:rPr>
      <w:w w:val="100"/>
      <w:position w:val="-1"/>
      <w:effect w:val="none"/>
      <w:vertAlign w:val="baseline"/>
      <w:cs w:val="0"/>
      <w:em w:val="none"/>
    </w:rPr>
  </w:style>
  <w:style w:type="paragraph" w:styleId="Corpotesto">
    <w:name w:val="Body Text"/>
    <w:basedOn w:val="Normale"/>
    <w:pPr>
      <w:spacing w:line="300" w:lineRule="atLeast"/>
    </w:pPr>
    <w:rPr>
      <w:color w:val="FF0000"/>
    </w:rPr>
  </w:style>
  <w:style w:type="paragraph" w:customStyle="1" w:styleId="Paragrafoelenco1">
    <w:name w:val="Paragrafo elenco1"/>
    <w:basedOn w:val="Normale"/>
    <w:pPr>
      <w:ind w:left="720"/>
    </w:p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sz w:val="24"/>
      <w:szCs w:val="24"/>
      <w:lang w:eastAsia="it-IT"/>
    </w:rPr>
  </w:style>
  <w:style w:type="paragraph" w:styleId="Corpodeltesto2">
    <w:name w:val="Body Text 2"/>
    <w:basedOn w:val="Normale"/>
    <w:pPr>
      <w:jc w:val="both"/>
    </w:pPr>
    <w:rPr>
      <w:b/>
      <w:bCs/>
    </w:rPr>
  </w:style>
  <w:style w:type="paragraph" w:customStyle="1" w:styleId="Documento">
    <w:name w:val="Documento"/>
    <w:basedOn w:val="Normale"/>
    <w:pPr>
      <w:widowControl w:val="0"/>
      <w:jc w:val="both"/>
    </w:pPr>
    <w:rPr>
      <w:sz w:val="22"/>
      <w:szCs w:val="20"/>
    </w:rPr>
  </w:style>
  <w:style w:type="character" w:styleId="Collegamentoipertestuale">
    <w:name w:val="Hyperlink"/>
    <w:rPr>
      <w:rFonts w:ascii="Times New Roman" w:hAnsi="Times New Roman" w:cs="Times New Roman"/>
      <w:color w:val="0000FF"/>
      <w:w w:val="100"/>
      <w:position w:val="-1"/>
      <w:u w:val="single"/>
      <w:effect w:val="none"/>
      <w:vertAlign w:val="baseline"/>
      <w:cs w:val="0"/>
      <w:em w:val="none"/>
    </w:rPr>
  </w:style>
  <w:style w:type="character" w:customStyle="1" w:styleId="CorpotestoCarattere">
    <w:name w:val="Corpo testo Carattere"/>
    <w:rPr>
      <w:color w:val="FF0000"/>
      <w:w w:val="100"/>
      <w:position w:val="-1"/>
      <w:sz w:val="24"/>
      <w:szCs w:val="24"/>
      <w:effect w:val="none"/>
      <w:vertAlign w:val="baseline"/>
      <w:cs w:val="0"/>
      <w:em w:val="none"/>
    </w:rPr>
  </w:style>
  <w:style w:type="paragraph" w:styleId="Paragrafoelenco">
    <w:name w:val="List Paragraph"/>
    <w:basedOn w:val="Normale"/>
    <w:pPr>
      <w:suppressAutoHyphens w:val="0"/>
      <w:ind w:left="720"/>
      <w:contextualSpacing/>
    </w:pPr>
    <w:rPr>
      <w:lang w:eastAsia="ar-SA"/>
    </w:rPr>
  </w:style>
  <w:style w:type="paragraph" w:styleId="Testonotaapidipagina">
    <w:name w:val="footnote text"/>
    <w:basedOn w:val="Normale"/>
    <w:qFormat/>
    <w:rPr>
      <w:sz w:val="20"/>
      <w:szCs w:val="20"/>
    </w:rPr>
  </w:style>
  <w:style w:type="character" w:customStyle="1" w:styleId="TestonotaapidipaginaCarattere">
    <w:name w:val="Testo nota a piè di pagina Carattere"/>
    <w:basedOn w:val="Carpredefinitoparagrafo"/>
    <w:rPr>
      <w:w w:val="100"/>
      <w:position w:val="-1"/>
      <w:effect w:val="none"/>
      <w:vertAlign w:val="baseline"/>
      <w:cs w:val="0"/>
      <w:em w:val="none"/>
    </w:rPr>
  </w:style>
  <w:style w:type="paragraph" w:customStyle="1" w:styleId="footnotedescription">
    <w:name w:val="footnote description"/>
    <w:next w:val="Normale"/>
    <w:pPr>
      <w:suppressAutoHyphens/>
      <w:spacing w:line="259" w:lineRule="auto"/>
      <w:ind w:leftChars="-1" w:left="-1" w:right="2" w:hangingChars="1" w:hanging="1"/>
      <w:jc w:val="both"/>
      <w:textDirection w:val="btLr"/>
      <w:textAlignment w:val="top"/>
      <w:outlineLvl w:val="0"/>
    </w:pPr>
    <w:rPr>
      <w:color w:val="000000"/>
      <w:position w:val="-1"/>
      <w:sz w:val="16"/>
      <w:szCs w:val="22"/>
      <w:lang w:eastAsia="it-IT"/>
    </w:rPr>
  </w:style>
  <w:style w:type="character" w:customStyle="1" w:styleId="footnotedescriptionChar">
    <w:name w:val="footnote description Char"/>
    <w:rPr>
      <w:color w:val="000000"/>
      <w:w w:val="100"/>
      <w:position w:val="-1"/>
      <w:sz w:val="16"/>
      <w:szCs w:val="22"/>
      <w:effect w:val="none"/>
      <w:vertAlign w:val="baseline"/>
      <w:cs w:val="0"/>
      <w:em w:val="none"/>
    </w:rPr>
  </w:style>
  <w:style w:type="character" w:customStyle="1" w:styleId="footnotemark">
    <w:name w:val="footnote mark"/>
    <w:rPr>
      <w:rFonts w:ascii="Times New Roman" w:eastAsia="Times New Roman" w:hAnsi="Times New Roman" w:cs="Times New Roman"/>
      <w:color w:val="000000"/>
      <w:w w:val="100"/>
      <w:position w:val="-1"/>
      <w:sz w:val="16"/>
      <w:effect w:val="none"/>
      <w:vertAlign w:val="superscript"/>
      <w:cs w:val="0"/>
      <w:em w:val="none"/>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paragraph" w:styleId="Testofumetto">
    <w:name w:val="Balloon Text"/>
    <w:basedOn w:val="Normale"/>
    <w:link w:val="TestofumettoCarattere"/>
    <w:uiPriority w:val="99"/>
    <w:semiHidden/>
    <w:unhideWhenUsed/>
    <w:rsid w:val="00746C4D"/>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46C4D"/>
    <w:rPr>
      <w:rFonts w:ascii="Tahoma" w:hAnsi="Tahoma" w:cs="Tahoma"/>
      <w:position w:val="-1"/>
      <w:sz w:val="16"/>
      <w:szCs w:val="16"/>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pPr>
      <w:suppressAutoHyphens/>
      <w:spacing w:line="1" w:lineRule="atLeast"/>
      <w:ind w:leftChars="-1" w:left="-1" w:hangingChars="1" w:hanging="1"/>
      <w:textDirection w:val="btLr"/>
      <w:textAlignment w:val="top"/>
      <w:outlineLvl w:val="0"/>
    </w:pPr>
    <w:rPr>
      <w:position w:val="-1"/>
      <w:sz w:val="24"/>
      <w:szCs w:val="24"/>
      <w:lang w:eastAsia="it-IT"/>
    </w:rPr>
  </w:style>
  <w:style w:type="paragraph" w:styleId="Titolo1">
    <w:name w:val="heading 1"/>
    <w:basedOn w:val="Normale"/>
    <w:next w:val="Normale"/>
    <w:pPr>
      <w:keepNext/>
      <w:jc w:val="center"/>
    </w:pPr>
    <w:rPr>
      <w:rFonts w:ascii="Arial" w:hAnsi="Arial" w:cs="Arial"/>
      <w:b/>
      <w:bCs/>
      <w:sz w:val="36"/>
    </w:rPr>
  </w:style>
  <w:style w:type="paragraph" w:styleId="Titolo2">
    <w:name w:val="heading 2"/>
    <w:basedOn w:val="Normale"/>
    <w:next w:val="Normale"/>
    <w:pPr>
      <w:keepNext/>
      <w:keepLines/>
      <w:spacing w:before="360" w:after="80"/>
      <w:outlineLvl w:val="1"/>
    </w:pPr>
    <w:rPr>
      <w:b/>
      <w:sz w:val="36"/>
      <w:szCs w:val="36"/>
    </w:rPr>
  </w:style>
  <w:style w:type="paragraph" w:styleId="Titolo3">
    <w:name w:val="heading 3"/>
    <w:basedOn w:val="Normale"/>
    <w:next w:val="Normale"/>
    <w:pPr>
      <w:keepNext/>
      <w:keepLines/>
      <w:spacing w:before="280" w:after="80"/>
      <w:outlineLvl w:val="2"/>
    </w:pPr>
    <w:rPr>
      <w:b/>
      <w:sz w:val="28"/>
      <w:szCs w:val="28"/>
    </w:rPr>
  </w:style>
  <w:style w:type="paragraph" w:styleId="Titolo4">
    <w:name w:val="heading 4"/>
    <w:basedOn w:val="Normale"/>
    <w:next w:val="Normale"/>
    <w:pPr>
      <w:keepNext/>
      <w:keepLines/>
      <w:spacing w:before="240" w:after="40"/>
      <w:outlineLvl w:val="3"/>
    </w:pPr>
    <w:rPr>
      <w:b/>
    </w:rPr>
  </w:style>
  <w:style w:type="paragraph" w:styleId="Titolo5">
    <w:name w:val="heading 5"/>
    <w:basedOn w:val="Normale"/>
    <w:next w:val="Normale"/>
    <w:pPr>
      <w:keepNext/>
      <w:keepLines/>
      <w:spacing w:before="220" w:after="40"/>
      <w:outlineLvl w:val="4"/>
    </w:pPr>
    <w:rPr>
      <w:b/>
      <w:sz w:val="22"/>
      <w:szCs w:val="22"/>
    </w:rPr>
  </w:style>
  <w:style w:type="paragraph" w:styleId="Titolo6">
    <w:name w:val="heading 6"/>
    <w:basedOn w:val="Normale"/>
    <w:next w:val="Normale"/>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paragraph" w:styleId="Didascalia">
    <w:name w:val="caption"/>
    <w:basedOn w:val="Normale"/>
    <w:next w:val="Normale"/>
    <w:pPr>
      <w:tabs>
        <w:tab w:val="left" w:pos="-1134"/>
        <w:tab w:val="left" w:pos="-568"/>
        <w:tab w:val="left" w:pos="-2"/>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line="287" w:lineRule="auto"/>
      <w:jc w:val="center"/>
    </w:pPr>
    <w:rPr>
      <w:rFonts w:ascii="Arial" w:hAnsi="Arial" w:cs="Arial"/>
      <w:b/>
      <w:bCs/>
      <w:sz w:val="32"/>
      <w:bdr w:val="single" w:sz="4" w:space="0" w:color="auto"/>
    </w:rPr>
  </w:style>
  <w:style w:type="paragraph" w:styleId="Pidipagina">
    <w:name w:val="footer"/>
    <w:basedOn w:val="Normale"/>
    <w:pPr>
      <w:tabs>
        <w:tab w:val="center" w:pos="4819"/>
        <w:tab w:val="right" w:pos="9638"/>
      </w:tabs>
    </w:pPr>
  </w:style>
  <w:style w:type="character" w:styleId="Numeropagina">
    <w:name w:val="page number"/>
    <w:basedOn w:val="Carpredefinitoparagrafo"/>
    <w:rPr>
      <w:w w:val="100"/>
      <w:position w:val="-1"/>
      <w:effect w:val="none"/>
      <w:vertAlign w:val="baseline"/>
      <w:cs w:val="0"/>
      <w:em w:val="none"/>
    </w:rPr>
  </w:style>
  <w:style w:type="paragraph" w:styleId="Corpotesto">
    <w:name w:val="Body Text"/>
    <w:basedOn w:val="Normale"/>
    <w:pPr>
      <w:spacing w:line="300" w:lineRule="atLeast"/>
    </w:pPr>
    <w:rPr>
      <w:color w:val="FF0000"/>
    </w:rPr>
  </w:style>
  <w:style w:type="paragraph" w:customStyle="1" w:styleId="Paragrafoelenco1">
    <w:name w:val="Paragrafo elenco1"/>
    <w:basedOn w:val="Normale"/>
    <w:pPr>
      <w:ind w:left="720"/>
    </w:p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sz w:val="24"/>
      <w:szCs w:val="24"/>
      <w:lang w:eastAsia="it-IT"/>
    </w:rPr>
  </w:style>
  <w:style w:type="paragraph" w:styleId="Corpodeltesto2">
    <w:name w:val="Body Text 2"/>
    <w:basedOn w:val="Normale"/>
    <w:pPr>
      <w:jc w:val="both"/>
    </w:pPr>
    <w:rPr>
      <w:b/>
      <w:bCs/>
    </w:rPr>
  </w:style>
  <w:style w:type="paragraph" w:customStyle="1" w:styleId="Documento">
    <w:name w:val="Documento"/>
    <w:basedOn w:val="Normale"/>
    <w:pPr>
      <w:widowControl w:val="0"/>
      <w:jc w:val="both"/>
    </w:pPr>
    <w:rPr>
      <w:sz w:val="22"/>
      <w:szCs w:val="20"/>
    </w:rPr>
  </w:style>
  <w:style w:type="character" w:styleId="Collegamentoipertestuale">
    <w:name w:val="Hyperlink"/>
    <w:rPr>
      <w:rFonts w:ascii="Times New Roman" w:hAnsi="Times New Roman" w:cs="Times New Roman"/>
      <w:color w:val="0000FF"/>
      <w:w w:val="100"/>
      <w:position w:val="-1"/>
      <w:u w:val="single"/>
      <w:effect w:val="none"/>
      <w:vertAlign w:val="baseline"/>
      <w:cs w:val="0"/>
      <w:em w:val="none"/>
    </w:rPr>
  </w:style>
  <w:style w:type="character" w:customStyle="1" w:styleId="CorpotestoCarattere">
    <w:name w:val="Corpo testo Carattere"/>
    <w:rPr>
      <w:color w:val="FF0000"/>
      <w:w w:val="100"/>
      <w:position w:val="-1"/>
      <w:sz w:val="24"/>
      <w:szCs w:val="24"/>
      <w:effect w:val="none"/>
      <w:vertAlign w:val="baseline"/>
      <w:cs w:val="0"/>
      <w:em w:val="none"/>
    </w:rPr>
  </w:style>
  <w:style w:type="paragraph" w:styleId="Paragrafoelenco">
    <w:name w:val="List Paragraph"/>
    <w:basedOn w:val="Normale"/>
    <w:pPr>
      <w:suppressAutoHyphens w:val="0"/>
      <w:ind w:left="720"/>
      <w:contextualSpacing/>
    </w:pPr>
    <w:rPr>
      <w:lang w:eastAsia="ar-SA"/>
    </w:rPr>
  </w:style>
  <w:style w:type="paragraph" w:styleId="Testonotaapidipagina">
    <w:name w:val="footnote text"/>
    <w:basedOn w:val="Normale"/>
    <w:qFormat/>
    <w:rPr>
      <w:sz w:val="20"/>
      <w:szCs w:val="20"/>
    </w:rPr>
  </w:style>
  <w:style w:type="character" w:customStyle="1" w:styleId="TestonotaapidipaginaCarattere">
    <w:name w:val="Testo nota a piè di pagina Carattere"/>
    <w:basedOn w:val="Carpredefinitoparagrafo"/>
    <w:rPr>
      <w:w w:val="100"/>
      <w:position w:val="-1"/>
      <w:effect w:val="none"/>
      <w:vertAlign w:val="baseline"/>
      <w:cs w:val="0"/>
      <w:em w:val="none"/>
    </w:rPr>
  </w:style>
  <w:style w:type="paragraph" w:customStyle="1" w:styleId="footnotedescription">
    <w:name w:val="footnote description"/>
    <w:next w:val="Normale"/>
    <w:pPr>
      <w:suppressAutoHyphens/>
      <w:spacing w:line="259" w:lineRule="auto"/>
      <w:ind w:leftChars="-1" w:left="-1" w:right="2" w:hangingChars="1" w:hanging="1"/>
      <w:jc w:val="both"/>
      <w:textDirection w:val="btLr"/>
      <w:textAlignment w:val="top"/>
      <w:outlineLvl w:val="0"/>
    </w:pPr>
    <w:rPr>
      <w:color w:val="000000"/>
      <w:position w:val="-1"/>
      <w:sz w:val="16"/>
      <w:szCs w:val="22"/>
      <w:lang w:eastAsia="it-IT"/>
    </w:rPr>
  </w:style>
  <w:style w:type="character" w:customStyle="1" w:styleId="footnotedescriptionChar">
    <w:name w:val="footnote description Char"/>
    <w:rPr>
      <w:color w:val="000000"/>
      <w:w w:val="100"/>
      <w:position w:val="-1"/>
      <w:sz w:val="16"/>
      <w:szCs w:val="22"/>
      <w:effect w:val="none"/>
      <w:vertAlign w:val="baseline"/>
      <w:cs w:val="0"/>
      <w:em w:val="none"/>
    </w:rPr>
  </w:style>
  <w:style w:type="character" w:customStyle="1" w:styleId="footnotemark">
    <w:name w:val="footnote mark"/>
    <w:rPr>
      <w:rFonts w:ascii="Times New Roman" w:eastAsia="Times New Roman" w:hAnsi="Times New Roman" w:cs="Times New Roman"/>
      <w:color w:val="000000"/>
      <w:w w:val="100"/>
      <w:position w:val="-1"/>
      <w:sz w:val="16"/>
      <w:effect w:val="none"/>
      <w:vertAlign w:val="superscript"/>
      <w:cs w:val="0"/>
      <w:em w:val="none"/>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paragraph" w:styleId="Testofumetto">
    <w:name w:val="Balloon Text"/>
    <w:basedOn w:val="Normale"/>
    <w:link w:val="TestofumettoCarattere"/>
    <w:uiPriority w:val="99"/>
    <w:semiHidden/>
    <w:unhideWhenUsed/>
    <w:rsid w:val="00746C4D"/>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46C4D"/>
    <w:rPr>
      <w:rFonts w:ascii="Tahoma" w:hAnsi="Tahoma" w:cs="Tahoma"/>
      <w:position w:val="-1"/>
      <w:sz w:val="16"/>
      <w:szCs w:val="1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tonite.eu/le-azioni/"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istat.it/strumenti/definizioni/ateco/ateco2007.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715w6YgDKiHeZ0jUEdfIQbTQurQ==">AMUW2mUeaE1ZVAwmtAGa0PBy9jBYhCMBK00SwkJajx/basqi29flpsfjl2qRdgS9A2L8mMNOUYAoLr67k1YUzVKg7MvxXI1Sv7lwh1hUMFXSn13MPj3l6+U=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1382</Words>
  <Characters>7881</Characters>
  <Application>Microsoft Office Word</Application>
  <DocSecurity>0</DocSecurity>
  <Lines>65</Lines>
  <Paragraphs>18</Paragraphs>
  <ScaleCrop>false</ScaleCrop>
  <Company/>
  <LinksUpToDate>false</LinksUpToDate>
  <CharactersWithSpaces>9245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Comune di Torino</dc:creator>
  <cp:lastModifiedBy>Bea</cp:lastModifiedBy>
  <cp:revision>3</cp:revision>
  <dcterms:created xsi:type="dcterms:W3CDTF">2021-06-21T09:56:00Z</dcterms:created>
  <dcterms:modified xsi:type="dcterms:W3CDTF">2021-06-21T13:16:00Z</dcterms:modified>
</cp:coreProperties>
</file>