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ALLEGATO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30" w:line="240" w:lineRule="auto"/>
        <w:jc w:val="center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art. 47 del D.P.R. 28.12.2000, n. 445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05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Il/La sottoscritto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/a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nato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/a a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_______________________________________________________________il ______________________________</w:t>
      </w:r>
    </w:p>
    <w:p w:rsidR="00000000" w:rsidDel="00000000" w:rsidP="00000000" w:rsidRDefault="00000000" w:rsidRPr="00000000" w14:paraId="00000007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resident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a ___________________________________________________________________________________________ </w:t>
      </w:r>
    </w:p>
    <w:p w:rsidR="00000000" w:rsidDel="00000000" w:rsidP="00000000" w:rsidRDefault="00000000" w:rsidRPr="00000000" w14:paraId="00000008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in Via/Piazza 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nella sua qualità di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L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egale appresentante del Soggetto proponente______________________________________________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con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sede legale a_______________________________________________________________________________________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153" w:line="374" w:lineRule="auto"/>
        <w:ind w:firstLine="22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in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Via/Piazza___________________________________________________________________________________________ </w:t>
      </w:r>
    </w:p>
    <w:p w:rsidR="00000000" w:rsidDel="00000000" w:rsidP="00000000" w:rsidRDefault="00000000" w:rsidRPr="00000000" w14:paraId="0000000C">
      <w:pPr>
        <w:widowControl w:val="0"/>
        <w:spacing w:before="29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C.F. ______________________________________________ P.IVA n. 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147" w:line="252.00000000000003" w:lineRule="auto"/>
        <w:ind w:hanging="13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e, limitatamente al comma 1, lettere a), b), b-bis), c), d), e), f), g) e al comma 2 anche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rtl w:val="0"/>
        </w:rPr>
        <w:t xml:space="preserve">in nome e per conto dei soggetti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rtl w:val="0"/>
        </w:rPr>
        <w:t xml:space="preserve">indicati nell’art. 94, comma 3, del D. Lgs. n. 36/2023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31" w:line="240" w:lineRule="auto"/>
        <w:ind w:hanging="5"/>
        <w:jc w:val="both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consapevole delle sanzioni penali previste dall’art. 76 del D.P.R. 28/12/2000, n. 445, nel caso di dichiarazioni mendaci, esibizione di atti falsi o contenenti dati non più corrispondenti al vero  </w:t>
      </w:r>
    </w:p>
    <w:p w:rsidR="00000000" w:rsidDel="00000000" w:rsidP="00000000" w:rsidRDefault="00000000" w:rsidRPr="00000000" w14:paraId="0000000F">
      <w:pPr>
        <w:widowControl w:val="0"/>
        <w:spacing w:before="129" w:line="240" w:lineRule="auto"/>
        <w:jc w:val="center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u w:val="singl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29" w:line="252.00000000000003" w:lineRule="auto"/>
        <w:ind w:firstLine="6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l’inesistenza delle cause di esclusione dalla partecipazione ad una procedura d’appalto o concessione elencate nell’art. 94 del D. Lgs. n. 36/2023, analogicamente applicato ad altre procedure di convenzione per realizzazione di progetti, per le finalità richiamate, ed in quanto compatibile, ed in particolare: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delitti, consumati o tentati, di cui agli articoli 317, 318, 319, 319-ter, 319-quater, 320, 321, 322, 322bis, 346- bis, 353, 353-bis, 354, 355 e 356 del codice penale nonché all’articolo 2635 del codice civile;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b-bis) false comunicazioni sociali di cui agli articoli 2621 e 2622 del codice civile;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frode ai sensi dell’articolo 1 della convenzione relativa alla tutela degli interessi finanziari delle Comunità europee;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sfruttamento del lavoro minorile e altre forme di tratta di esseri umani definite con il decreto legislativo 4 marzo 2014, n. 24;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ogni altro delitto da cui derivi, quale pena accessoria, l’incapacità di contrattare con la pubblica amministrazione.  In caso contrario, dichiara nello spazio che segue le condanne riportate (indicare i soggetti specificando ruolo, imputazione e condanna).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che nei propri confronti e nei confronti dei soggetti sopra indicati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 w:rsidR="00000000" w:rsidDel="00000000" w:rsidP="00000000" w:rsidRDefault="00000000" w:rsidRPr="00000000" w14:paraId="0000001B">
      <w:pPr>
        <w:widowControl w:val="0"/>
        <w:spacing w:before="133" w:line="246.99999999999994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ha commesso violazioni gravi, definitivamente accertate, rispetto agli obblighi relativi al pagamento delle imposte e tasse o dei contributi previdenziali, secondo la legislazione italiana o quella dello Stato in cui sono stabiliti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ed indica all’uopo i seguenti dati: </w:t>
      </w:r>
    </w:p>
    <w:p w:rsidR="00000000" w:rsidDel="00000000" w:rsidP="00000000" w:rsidRDefault="00000000" w:rsidRPr="00000000" w14:paraId="0000001C">
      <w:pPr>
        <w:widowControl w:val="0"/>
        <w:spacing w:before="32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9"/>
          <w:szCs w:val="19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Ufficio Locale dell’Agenzia delle Entrate competente: </w:t>
      </w:r>
    </w:p>
    <w:p w:rsidR="00000000" w:rsidDel="00000000" w:rsidP="00000000" w:rsidRDefault="00000000" w:rsidRPr="00000000" w14:paraId="0000001D">
      <w:pPr>
        <w:widowControl w:val="0"/>
        <w:spacing w:before="12"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i. Indirizzo: ________________________________________________________________________________________________ </w:t>
      </w:r>
    </w:p>
    <w:p w:rsidR="00000000" w:rsidDel="00000000" w:rsidP="00000000" w:rsidRDefault="00000000" w:rsidRPr="00000000" w14:paraId="0000001E">
      <w:pPr>
        <w:widowControl w:val="0"/>
        <w:spacing w:before="12"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ii. numero di telefono: _______________________________________________________________________________________ </w:t>
      </w:r>
    </w:p>
    <w:p w:rsidR="00000000" w:rsidDel="00000000" w:rsidP="00000000" w:rsidRDefault="00000000" w:rsidRPr="00000000" w14:paraId="0000001F">
      <w:pPr>
        <w:widowControl w:val="0"/>
        <w:spacing w:before="12"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iii. pec, fax e/o e-mail: _______________________________________________________________________________________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425" w:hanging="431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9"/>
          <w:szCs w:val="19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Se non iscritto all’INPS e/o INAIL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] Informazioni ai fini delle verifiche sulla regolarità contributiva previdenziale di soci e dipendenti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compilare sezione d’interesse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5" w:line="240" w:lineRule="auto"/>
        <w:ind w:left="567" w:hanging="567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i. Posizione assicurativa INAIL: _______________________________________________ </w:t>
      </w:r>
    </w:p>
    <w:p w:rsidR="00000000" w:rsidDel="00000000" w:rsidP="00000000" w:rsidRDefault="00000000" w:rsidRPr="00000000" w14:paraId="00000022">
      <w:pPr>
        <w:widowControl w:val="0"/>
        <w:spacing w:before="5" w:line="240" w:lineRule="auto"/>
        <w:ind w:left="567" w:hanging="567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cod. identificativo: _______________________________________________________ </w:t>
      </w:r>
    </w:p>
    <w:p w:rsidR="00000000" w:rsidDel="00000000" w:rsidP="00000000" w:rsidRDefault="00000000" w:rsidRPr="00000000" w14:paraId="00000023">
      <w:pPr>
        <w:widowControl w:val="0"/>
        <w:spacing w:before="7" w:line="240" w:lineRule="auto"/>
        <w:ind w:firstLine="496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sede competente: _______________________________________________________ , ovvero </w:t>
      </w:r>
    </w:p>
    <w:p w:rsidR="00000000" w:rsidDel="00000000" w:rsidP="00000000" w:rsidRDefault="00000000" w:rsidRPr="00000000" w14:paraId="00000024">
      <w:pPr>
        <w:widowControl w:val="0"/>
        <w:spacing w:before="7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ii. Posizione assicurativa INPS: 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before="7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cod. identificativo: _______________________________________________________ </w:t>
      </w:r>
    </w:p>
    <w:p w:rsidR="00000000" w:rsidDel="00000000" w:rsidP="00000000" w:rsidRDefault="00000000" w:rsidRPr="00000000" w14:paraId="00000026">
      <w:pPr>
        <w:widowControl w:val="0"/>
        <w:spacing w:before="8" w:line="240" w:lineRule="auto"/>
        <w:ind w:firstLine="542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sede competente: _______________________________________________________ , ovvero </w:t>
      </w:r>
    </w:p>
    <w:p w:rsidR="00000000" w:rsidDel="00000000" w:rsidP="00000000" w:rsidRDefault="00000000" w:rsidRPr="00000000" w14:paraId="00000027">
      <w:pPr>
        <w:widowControl w:val="0"/>
        <w:spacing w:before="8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iii. Iscrizione altra cassa previdenziale: _________________________________________ </w:t>
      </w:r>
    </w:p>
    <w:p w:rsidR="00000000" w:rsidDel="00000000" w:rsidP="00000000" w:rsidRDefault="00000000" w:rsidRPr="00000000" w14:paraId="00000028">
      <w:pPr>
        <w:widowControl w:val="0"/>
        <w:spacing w:before="8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cassa di appartenenza: ___________________________________________________ </w:t>
      </w:r>
    </w:p>
    <w:p w:rsidR="00000000" w:rsidDel="00000000" w:rsidP="00000000" w:rsidRDefault="00000000" w:rsidRPr="00000000" w14:paraId="00000029">
      <w:pPr>
        <w:widowControl w:val="0"/>
        <w:spacing w:before="5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cod. identificativo: _______________________________________________________ </w:t>
      </w:r>
    </w:p>
    <w:p w:rsidR="00000000" w:rsidDel="00000000" w:rsidP="00000000" w:rsidRDefault="00000000" w:rsidRPr="00000000" w14:paraId="0000002A">
      <w:pPr>
        <w:widowControl w:val="0"/>
        <w:spacing w:before="12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Indirizzo: ______________________________________________________________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ha commesso gravi infrazioni debitamente accertate alle norme in materia di salute e sicurezza sul lavoro nonché agli obblighi di cui all’articolo 10 del D. Lgs. n. 36/2023;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124 del D. Lgs. n.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non si è reso colpevole di gravi illeciti professionali, tali da rendere dubbia la sua integrità o affidabilità né ricorre nelle altre fattispecie di cui all'art. 98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la propria partecipazione non determina una situazione di conflitto di interesse ai sensi dell’articolo 16 del D. Lgs. n. 36/2023, non diversamente risolvibile;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la propria partecipazione non determina una distorsione della concorrenza derivante dal proprio precedente coinvolgimento nella preparazione della procedura di cui all’articolo 78 del D. Lgs. n. 36/2023 che non possa essere risolta con misure meno intrusive;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non è stato soggetto alla sanzione interdittiva di cui all’articolo 9, comma 2, lettera c)  del D. Lgs. n. 8 giugno 2001, n. 231 o ad altra sanzione che comporta il divieto di contrarre con la pubblica  amministrazione, compresi i provvedimenti interdittivi di cui all’articolo 14 del D. Lgs. n. 9 aprile 2008, n. 81 e che si  trova in possesso dei requisiti d'idoneità di cui all’art. 26 del D. Lgs. 81;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non ha presentato nella procedura di gara in corso e negli affidamenti di subappalti documentazioni non veritiere (art. 98, comma 5, codice appalti);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 non è iscritto nel casellario informatico tenuto dall’Osservatorio dell’ANAC per aver presentato false dichiarazioni o falsa documentazione nelle procedure di gara e negli affidamenti di subappalti;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13.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 il Soggetto proponente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non ha violato il divieto di intestazione fiduciaria di cui all’articolo 17 della legge 19 marzo 1990, n. 55;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14.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che, ai sensi dell’art. 17 della legge 12.03.1999, n. 68: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 </w:t>
      </w:r>
    </w:p>
    <w:tbl>
      <w:tblPr>
        <w:tblStyle w:val="Table1"/>
        <w:tblW w:w="9985.0" w:type="dxa"/>
        <w:jc w:val="left"/>
        <w:tblInd w:w="16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9501"/>
        <w:tblGridChange w:id="0">
          <w:tblGrid>
            <w:gridCol w:w="484"/>
            <w:gridCol w:w="9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40" w:before="60"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il Soggetto proponente è in regola con le norme che disciplinano il diritto al lavoro dei disabili poiché ha ottemperato alle disposizioni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40" w:before="60"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contenute nella Legge 68/99 o _______________________________ (indicare la Legge Stato estero).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Gli adempimenti sono stati eseguiti presso l’Ufficio ____________________________ di__________________________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Via ___________________________________________ fax _____________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e-mail/PEC: _______________________________________________________________________________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40" w:before="60"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il Soggetto proponente non è soggetto agli obblighi di assunzione obbligatoria previsti dalla Legge 68/99 per i seguenti motivi: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[indicare i motivi di esenzione] ___________________________________________________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in _______________________(Stato estero) non esiste una normativa sull’assunzione obbligatoria dei disabili;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15.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che l’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Ente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: 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 </w:t>
      </w:r>
    </w:p>
    <w:tbl>
      <w:tblPr>
        <w:tblStyle w:val="Table2"/>
        <w:tblW w:w="9985.0" w:type="dxa"/>
        <w:jc w:val="left"/>
        <w:tblInd w:w="16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9501"/>
        <w:tblGridChange w:id="0">
          <w:tblGrid>
            <w:gridCol w:w="484"/>
            <w:gridCol w:w="9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non è stato vittima dei reati previsti e puniti dagli artt. 317 e 629 c.p., aggravati ai sensi dell’art. 7 del decreto legge 13 maggio 1991, n. 152, convertito, con modificazioni, dalla legge 12 luglio 1991 n. 203.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è stato vittima dei suddetti reati ma ha denunciato i fatti all’autorità giudiziaria;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 689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16.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9"/>
          <w:szCs w:val="19"/>
          <w:rtl w:val="0"/>
        </w:rPr>
        <w:t xml:space="preserve">Barrare la casella di interesse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) </w:t>
      </w:r>
    </w:p>
    <w:tbl>
      <w:tblPr>
        <w:tblStyle w:val="Table3"/>
        <w:tblW w:w="9985.0" w:type="dxa"/>
        <w:jc w:val="left"/>
        <w:tblInd w:w="16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9501"/>
        <w:tblGridChange w:id="0">
          <w:tblGrid>
            <w:gridCol w:w="484"/>
            <w:gridCol w:w="95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che il Soggetto proponente non si trova in alcuna situazione di controllo di cui all'articolo 2359 del codice civile o in una qualsiasi relazione,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anche di fatto con alcun soggetto, se la situazione di controllo o la relazione comporti che le offerte sono imputabili ad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un unico centro decisionale, e di aver formulato autonomamente la candidatura.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284" w:hanging="284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ovvero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che il Soggetto proponente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candidature sono imputabili ad un unico centro decisionale e di aver formulato autonomamente la candidatura.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ovvero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40" w:before="60" w:line="240" w:lineRule="auto"/>
              <w:jc w:val="center"/>
              <w:rPr/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40" w:before="60" w:line="240" w:lineRule="auto"/>
              <w:jc w:val="both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che il Soggetto proponente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candidature sono imputabili ad un unico centro decisionale del codice civile, e di aver formulato autonomamente la candidatura.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284" w:hanging="28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luogo _____________________, lì ______________ </w:t>
      </w:r>
    </w:p>
    <w:p w:rsidR="00000000" w:rsidDel="00000000" w:rsidP="00000000" w:rsidRDefault="00000000" w:rsidRPr="00000000" w14:paraId="0000005C">
      <w:pPr>
        <w:widowControl w:val="0"/>
        <w:spacing w:before="241" w:line="240" w:lineRule="auto"/>
        <w:ind w:right="41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241" w:line="240" w:lineRule="auto"/>
        <w:ind w:right="416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241" w:line="240" w:lineRule="auto"/>
        <w:ind w:right="41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LEGALE RAPPRESENTANTE________________________________________________________________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spacing w:before="222" w:line="240" w:lineRule="auto"/>
        <w:ind w:left="2552" w:right="83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sz w:val="16"/>
          <w:szCs w:val="16"/>
          <w:rtl w:val="0"/>
        </w:rPr>
        <w:t xml:space="preserve">firmato digitalmente ai sensi del testo unico D.P.R. 28/12/2000 n. 445, del D.Lgs. 07/03/2005 n. 82 e norme collegate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222" w:line="240" w:lineRule="auto"/>
        <w:ind w:right="837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39" w:line="240" w:lineRule="auto"/>
        <w:ind w:right="593" w:firstLine="7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20" w:w="11906" w:orient="portrait"/>
      <w:pgMar w:bottom="1090" w:top="880" w:left="1119" w:right="72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widowControl w:val="0"/>
        <w:spacing w:line="240" w:lineRule="auto"/>
        <w:ind w:left="16" w:right="-12" w:firstLine="8.000000000000004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I soggetti di cui all’art. 94, comma 3, sono i seguenti: il titolare e direttore tecnico, se si tratta di impresa individuale; un socio o il direttore tecnico, se si tratta di società in nome collettivo; i soci accomandatari o il direttore tecnico, se si tratta di società in accomandita semplice; i membri del 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 fisica, ovvero il socio di maggioranza in caso di società con meno di quattro soci, se si tratta di altro tipo di società o consorzio.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3">
      <w:pPr>
        <w:widowControl w:val="0"/>
        <w:spacing w:line="240" w:lineRule="auto"/>
        <w:ind w:firstLine="6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Ai sensi dell’art. 94, comma 6, del D. Lgs. n. 36/2023, “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costituiscono gravi violazioni quelle che comportano un omesso pagamento di imposte e tasse  superiore all’importo di cui all’articolo 48-bis, commi 1 e 2-bis del decreto del Presidente della Repubblica 29 settembre 1973, n. 602. Costituiscono  violazioni definitivamente accertate quelle contenute in sentenze o atti amministrativi non più soggetti ad impugnazione. Costituiscono gravi violazioni  in materia contributiva e previdenziale quelle ostative al rilascio del documento unico di regolarità contributiva (DURC), di cui all’articolo 8 del decreto  del Ministero del lavoro e delle politiche sociali 30 gennaio 2015, pubblicato sulla Gazzetta Ufficiale n. 125 del 1° giugno 2015.Il presente comma non  si applica quando l’operatore economico ha ottemperato ai suoi obblighi pagando o impegnandosi in modo vincolante a pagare le imposte o i contributi  previdenziali dovuti, compresi eventuali interessi o multe, purché il pagamento o l’impegno siano stati formalizzati prima della scadenza del termine  per la presentazione delle domande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”.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L'art. 98, comma 3, prevede tra le cause di esclusione: lettera b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l'operatore economico abbia tentato di influenzare indebitamente il processo  decisionale della stazione appaltante o di ottenere informazioni riservate a fini di proprio vantaggio oppure abbia fornito, anche per negligenza, informazioni  false o fuorvianti suscettibili di influenzare le decisioni sull'esclusione, la selezione o l'aggiudicazione, ovvero abbia omesso le informazioni dovute ai fini del  corretto svolgimento della procedura di selezione; lettera c “l'operatore economico abbia dimostrato significative o persistenti carenze nell'esecuzione di un  precedente contratto di appalto o di concessione che ne hanno causato la risoluzione per inadempimento ovvero la condanna al risarcimento del danno o  altre sanzioni comparabili; su tali circostanze la stazione appaltante motiva anche con riferimento al tempo trascorso dalla violazione e alla gravità della  stessa;".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spacing w:before="240" w:line="240" w:lineRule="auto"/>
      <w:ind w:left="17" w:firstLine="0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19"/>
        <w:szCs w:val="19"/>
        <w:rtl w:val="0"/>
      </w:rPr>
      <w:t xml:space="preserve">Dichiarazione sostitutiva cause di esclusione di cui all'art. 94 del D. Lgs. n. 36/2023 e s.m.i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71" w:hanging="360"/>
      </w:pPr>
      <w:rPr>
        <w:rFonts w:ascii="Calibri" w:cs="Calibri" w:eastAsia="Calibri" w:hAnsi="Calibri"/>
        <w:sz w:val="19"/>
        <w:szCs w:val="19"/>
      </w:rPr>
    </w:lvl>
    <w:lvl w:ilvl="1">
      <w:start w:val="1"/>
      <w:numFmt w:val="lowerLetter"/>
      <w:lvlText w:val="%2."/>
      <w:lvlJc w:val="left"/>
      <w:pPr>
        <w:ind w:left="1091" w:hanging="360"/>
      </w:pPr>
      <w:rPr/>
    </w:lvl>
    <w:lvl w:ilvl="2">
      <w:start w:val="1"/>
      <w:numFmt w:val="lowerRoman"/>
      <w:lvlText w:val="%3."/>
      <w:lvlJc w:val="right"/>
      <w:pPr>
        <w:ind w:left="1811" w:hanging="180"/>
      </w:pPr>
      <w:rPr/>
    </w:lvl>
    <w:lvl w:ilvl="3">
      <w:start w:val="1"/>
      <w:numFmt w:val="decimal"/>
      <w:lvlText w:val="%4."/>
      <w:lvlJc w:val="left"/>
      <w:pPr>
        <w:ind w:left="2531" w:hanging="360"/>
      </w:pPr>
      <w:rPr/>
    </w:lvl>
    <w:lvl w:ilvl="4">
      <w:start w:val="1"/>
      <w:numFmt w:val="lowerLetter"/>
      <w:lvlText w:val="%5."/>
      <w:lvlJc w:val="left"/>
      <w:pPr>
        <w:ind w:left="3251" w:hanging="360"/>
      </w:pPr>
      <w:rPr/>
    </w:lvl>
    <w:lvl w:ilvl="5">
      <w:start w:val="1"/>
      <w:numFmt w:val="lowerRoman"/>
      <w:lvlText w:val="%6."/>
      <w:lvlJc w:val="right"/>
      <w:pPr>
        <w:ind w:left="3971" w:hanging="180"/>
      </w:pPr>
      <w:rPr/>
    </w:lvl>
    <w:lvl w:ilvl="6">
      <w:start w:val="1"/>
      <w:numFmt w:val="decimal"/>
      <w:lvlText w:val="%7."/>
      <w:lvlJc w:val="left"/>
      <w:pPr>
        <w:ind w:left="4691" w:hanging="360"/>
      </w:pPr>
      <w:rPr/>
    </w:lvl>
    <w:lvl w:ilvl="7">
      <w:start w:val="1"/>
      <w:numFmt w:val="lowerLetter"/>
      <w:lvlText w:val="%8."/>
      <w:lvlJc w:val="left"/>
      <w:pPr>
        <w:ind w:left="5411" w:hanging="360"/>
      </w:pPr>
      <w:rPr/>
    </w:lvl>
    <w:lvl w:ilvl="8">
      <w:start w:val="1"/>
      <w:numFmt w:val="lowerRoman"/>
      <w:lvlText w:val="%9."/>
      <w:lvlJc w:val="right"/>
      <w:pPr>
        <w:ind w:left="613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3"/>
      <w:numFmt w:val="lowerLetter"/>
      <w:lvlText w:val="%1."/>
      <w:lvlJc w:val="left"/>
      <w:pPr>
        <w:ind w:left="360" w:hanging="360"/>
      </w:pPr>
      <w:rPr>
        <w:rFonts w:ascii="Calibri" w:cs="Calibri" w:eastAsia="Calibri" w:hAnsi="Calibri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line="276" w:lineRule="auto"/>
    </w:pPr>
    <w:rPr>
      <w:color w:val="00000a"/>
      <w:sz w:val="22"/>
    </w:rPr>
  </w:style>
  <w:style w:type="paragraph" w:styleId="Titolo1">
    <w:name w:val="heading 1"/>
    <w:basedOn w:val="Normale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qFormat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qFormat w:val="1"/>
    <w:rPr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2F650E"/>
    <w:rPr>
      <w:rFonts w:ascii="Tahoma" w:cs="Tahoma" w:hAnsi="Tahoma"/>
      <w:sz w:val="16"/>
      <w:szCs w:val="16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qFormat w:val="1"/>
    <w:rsid w:val="002F65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qFormat w:val="1"/>
    <w:rsid w:val="002F650E"/>
    <w:rPr>
      <w:vertAlign w:val="superscrip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0F3B7F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0F3B7F"/>
  </w:style>
  <w:style w:type="character" w:styleId="ListLabel1" w:customStyle="1">
    <w:name w:val="ListLabel 1"/>
    <w:qFormat w:val="1"/>
    <w:rPr>
      <w:rFonts w:ascii="Calibri" w:hAnsi="Calibri"/>
      <w:sz w:val="19"/>
      <w:szCs w:val="22"/>
    </w:rPr>
  </w:style>
  <w:style w:type="character" w:styleId="ListLabel2" w:customStyle="1">
    <w:name w:val="ListLabel 2"/>
    <w:qFormat w:val="1"/>
    <w:rPr>
      <w:rFonts w:ascii="Calibri" w:hAnsi="Calibri"/>
      <w:b w:val="0"/>
      <w:sz w:val="19"/>
    </w:rPr>
  </w:style>
  <w:style w:type="character" w:styleId="ListLabel3" w:customStyle="1">
    <w:name w:val="ListLabel 3"/>
    <w:qFormat w:val="1"/>
    <w:rPr>
      <w:sz w:val="22"/>
    </w:rPr>
  </w:style>
  <w:style w:type="character" w:styleId="ListLabel4" w:customStyle="1">
    <w:name w:val="ListLabel 4"/>
    <w:qFormat w:val="1"/>
    <w:rPr>
      <w:sz w:val="22"/>
    </w:rPr>
  </w:style>
  <w:style w:type="character" w:styleId="ListLabel5" w:customStyle="1">
    <w:name w:val="ListLabel 5"/>
    <w:qFormat w:val="1"/>
    <w:rPr>
      <w:rFonts w:ascii="Calibri" w:hAnsi="Calibri"/>
      <w:sz w:val="19"/>
    </w:rPr>
  </w:style>
  <w:style w:type="character" w:styleId="Caratterinotaapidipagina" w:customStyle="1">
    <w:name w:val="Caratteri nota a piè di pagina"/>
    <w:qFormat w:val="1"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 w:val="1"/>
  </w:style>
  <w:style w:type="character" w:styleId="ListLabel6" w:customStyle="1">
    <w:name w:val="ListLabel 6"/>
    <w:qFormat w:val="1"/>
    <w:rPr>
      <w:rFonts w:ascii="Calibri" w:hAnsi="Calibri"/>
      <w:sz w:val="19"/>
      <w:szCs w:val="22"/>
    </w:rPr>
  </w:style>
  <w:style w:type="character" w:styleId="ListLabel7" w:customStyle="1">
    <w:name w:val="ListLabel 7"/>
    <w:qFormat w:val="1"/>
    <w:rPr>
      <w:rFonts w:ascii="Calibri" w:hAnsi="Calibri"/>
      <w:b w:val="0"/>
      <w:sz w:val="19"/>
    </w:rPr>
  </w:style>
  <w:style w:type="character" w:styleId="ListLabel8" w:customStyle="1">
    <w:name w:val="ListLabel 8"/>
    <w:qFormat w:val="1"/>
    <w:rPr>
      <w:rFonts w:ascii="Calibri" w:hAnsi="Calibri"/>
      <w:sz w:val="19"/>
    </w:rPr>
  </w:style>
  <w:style w:type="character" w:styleId="ListLabel9" w:customStyle="1">
    <w:name w:val="ListLabel 9"/>
    <w:qFormat w:val="1"/>
    <w:rPr>
      <w:rFonts w:ascii="Calibri" w:hAnsi="Calibri"/>
      <w:sz w:val="19"/>
      <w:szCs w:val="22"/>
    </w:rPr>
  </w:style>
  <w:style w:type="character" w:styleId="ListLabel10" w:customStyle="1">
    <w:name w:val="ListLabel 10"/>
    <w:qFormat w:val="1"/>
    <w:rPr>
      <w:rFonts w:ascii="Calibri" w:hAnsi="Calibri"/>
      <w:b w:val="0"/>
      <w:sz w:val="19"/>
    </w:rPr>
  </w:style>
  <w:style w:type="character" w:styleId="ListLabel11" w:customStyle="1">
    <w:name w:val="ListLabel 11"/>
    <w:qFormat w:val="1"/>
    <w:rPr>
      <w:rFonts w:ascii="Calibri" w:hAnsi="Calibri"/>
      <w:sz w:val="19"/>
    </w:rPr>
  </w:style>
  <w:style w:type="character" w:styleId="ListLabel12" w:customStyle="1">
    <w:name w:val="ListLabel 12"/>
    <w:qFormat w:val="1"/>
    <w:rPr>
      <w:rFonts w:ascii="Calibri" w:hAnsi="Calibri"/>
      <w:sz w:val="19"/>
      <w:szCs w:val="22"/>
    </w:rPr>
  </w:style>
  <w:style w:type="character" w:styleId="ListLabel13" w:customStyle="1">
    <w:name w:val="ListLabel 13"/>
    <w:qFormat w:val="1"/>
    <w:rPr>
      <w:rFonts w:ascii="Calibri" w:hAnsi="Calibri"/>
      <w:b w:val="0"/>
      <w:sz w:val="19"/>
    </w:rPr>
  </w:style>
  <w:style w:type="character" w:styleId="ListLabel14" w:customStyle="1">
    <w:name w:val="ListLabel 14"/>
    <w:qFormat w:val="1"/>
    <w:rPr>
      <w:rFonts w:ascii="Calibri" w:hAnsi="Calibri"/>
      <w:sz w:val="19"/>
    </w:rPr>
  </w:style>
  <w:style w:type="paragraph" w:styleId="Titolo">
    <w:name w:val="Title"/>
    <w:basedOn w:val="Normale"/>
    <w:next w:val="Corpotes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ascii="Times New Roman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ascii="Times New Roman" w:hAnsi="Times New Roman"/>
    </w:rPr>
  </w:style>
  <w:style w:type="paragraph" w:styleId="Sottotitolo">
    <w:name w:val="Subtitle"/>
    <w:basedOn w:val="Normale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2F650E"/>
    <w:pPr>
      <w:spacing w:line="240" w:lineRule="auto"/>
    </w:pPr>
    <w:rPr>
      <w:rFonts w:ascii="Tahoma" w:cs="Tahoma" w:hAnsi="Tahoma"/>
      <w:sz w:val="16"/>
      <w:szCs w:val="16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link w:val="IntestazioneCarattere"/>
    <w:uiPriority w:val="99"/>
    <w:unhideWhenUsed w:val="1"/>
    <w:rsid w:val="000F3B7F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 w:val="1"/>
    <w:rsid w:val="000F3B7F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uiPriority w:val="34"/>
    <w:qFormat w:val="1"/>
    <w:rsid w:val="000F3B7F"/>
    <w:pPr>
      <w:ind w:left="720"/>
      <w:contextualSpacing w:val="1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7F7C3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TIiC8/i/7WJ1rKfEEkKsoGbZQ==">CgMxLjAyCGguZ2pkZ3hzMgloLjMwajB6bGwyCWguMWZvYjl0ZTIJaC4zem55c2g3MgloLjJldDkycDAyCGgudHlqY3d0MgloLjNkeTZ2a20yCWguMXQzaDVzZjIJaC40ZDM0b2c4MgloLjJzOGV5bzE4AHIhMUNPUXo1TVRtZW5RQVBDdzduU2kyQllSc0tEaTBwR3Zv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2023-05-02T14:49:00Z</dcterms:created>
  <dc:creator>CICCONE Furio u181083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